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B9E59" w14:textId="5190725C" w:rsidR="007E53A1" w:rsidRPr="005F19CB" w:rsidRDefault="007E53A1">
      <w:pPr>
        <w:pStyle w:val="Title"/>
        <w:suppressLineNumbers/>
        <w:spacing w:before="120"/>
        <w:rPr>
          <w:u w:val="none"/>
        </w:rPr>
      </w:pPr>
      <w:bookmarkStart w:id="0" w:name="_GoBack"/>
      <w:bookmarkEnd w:id="0"/>
      <w:r w:rsidRPr="005F19CB">
        <w:rPr>
          <w:u w:val="none"/>
        </w:rPr>
        <w:t>DIRECT TESTIMONY OF</w:t>
      </w:r>
    </w:p>
    <w:p w14:paraId="6C369D5D" w14:textId="77777777" w:rsidR="007E53A1" w:rsidRPr="005F19CB" w:rsidRDefault="007E53A1">
      <w:pPr>
        <w:suppressLineNumbers/>
        <w:spacing w:before="120" w:after="120"/>
        <w:jc w:val="center"/>
        <w:outlineLvl w:val="0"/>
        <w:rPr>
          <w:b/>
        </w:rPr>
      </w:pPr>
      <w:r>
        <w:rPr>
          <w:b/>
        </w:rPr>
        <w:t>DAVID P. POROCH,</w:t>
      </w:r>
      <w:r w:rsidRPr="005F19CB">
        <w:rPr>
          <w:b/>
        </w:rPr>
        <w:t xml:space="preserve"> </w:t>
      </w:r>
      <w:r>
        <w:rPr>
          <w:b/>
        </w:rPr>
        <w:t>SARAH P. ADAMS, AND MICHAEL B. ROBINSON</w:t>
      </w:r>
    </w:p>
    <w:p w14:paraId="063FDB3F" w14:textId="77777777" w:rsidR="007E53A1" w:rsidRDefault="007E53A1">
      <w:pPr>
        <w:suppressLineNumbers/>
        <w:spacing w:before="120" w:after="120"/>
        <w:jc w:val="center"/>
        <w:outlineLvl w:val="0"/>
        <w:rPr>
          <w:b/>
        </w:rPr>
      </w:pPr>
      <w:r w:rsidRPr="005F19CB">
        <w:rPr>
          <w:b/>
        </w:rPr>
        <w:t xml:space="preserve">ON BEHALF OF </w:t>
      </w:r>
    </w:p>
    <w:p w14:paraId="5ACAA713" w14:textId="77777777" w:rsidR="007E53A1" w:rsidRDefault="007E53A1">
      <w:pPr>
        <w:suppressLineNumbers/>
        <w:spacing w:before="120" w:after="120"/>
        <w:jc w:val="center"/>
        <w:outlineLvl w:val="0"/>
        <w:rPr>
          <w:b/>
        </w:rPr>
      </w:pPr>
      <w:r w:rsidRPr="005F19CB">
        <w:rPr>
          <w:b/>
        </w:rPr>
        <w:t>GEORGIA POWER COMPANY</w:t>
      </w:r>
    </w:p>
    <w:p w14:paraId="2B785DAB" w14:textId="77777777" w:rsidR="007E53A1" w:rsidRPr="005F19CB" w:rsidRDefault="007E53A1">
      <w:pPr>
        <w:suppressLineNumbers/>
        <w:spacing w:before="120" w:after="120"/>
        <w:jc w:val="center"/>
        <w:outlineLvl w:val="0"/>
        <w:rPr>
          <w:b/>
        </w:rPr>
      </w:pPr>
    </w:p>
    <w:p w14:paraId="43AE33D3" w14:textId="77777777" w:rsidR="00972855" w:rsidRDefault="007E53A1" w:rsidP="008D6025">
      <w:pPr>
        <w:suppressLineNumbers/>
        <w:spacing w:before="120" w:after="120"/>
        <w:jc w:val="center"/>
        <w:outlineLvl w:val="0"/>
        <w:rPr>
          <w:b/>
        </w:rPr>
      </w:pPr>
      <w:r w:rsidRPr="005F19CB">
        <w:rPr>
          <w:b/>
        </w:rPr>
        <w:t xml:space="preserve">DOCKET NO. </w:t>
      </w:r>
      <w:r>
        <w:rPr>
          <w:b/>
        </w:rPr>
        <w:t>42516</w:t>
      </w:r>
    </w:p>
    <w:p w14:paraId="0D07032B" w14:textId="77777777" w:rsidR="008D6025" w:rsidRDefault="008D6025" w:rsidP="00BB4082">
      <w:pPr>
        <w:suppressLineNumbers/>
        <w:spacing w:before="120"/>
        <w:outlineLvl w:val="0"/>
        <w:rPr>
          <w:b/>
        </w:rPr>
      </w:pPr>
    </w:p>
    <w:p w14:paraId="6111301B" w14:textId="77777777" w:rsidR="007E53A1" w:rsidRPr="00334F9A" w:rsidRDefault="007E53A1" w:rsidP="00BB4082">
      <w:pPr>
        <w:pStyle w:val="OutlineL1"/>
        <w:spacing w:after="0" w:line="360" w:lineRule="auto"/>
      </w:pPr>
      <w:bookmarkStart w:id="1" w:name="_Toc11174244"/>
      <w:r w:rsidRPr="00334F9A">
        <w:t>INTRODUCTION</w:t>
      </w:r>
      <w:bookmarkEnd w:id="1"/>
    </w:p>
    <w:p w14:paraId="520E21B1" w14:textId="77777777" w:rsidR="00BB4082" w:rsidRDefault="00BB4082" w:rsidP="00BB4082">
      <w:pPr>
        <w:spacing w:line="360" w:lineRule="auto"/>
        <w:jc w:val="both"/>
        <w:rPr>
          <w:b/>
        </w:rPr>
      </w:pPr>
    </w:p>
    <w:p w14:paraId="6B6F7172" w14:textId="203CA838" w:rsidR="007E53A1" w:rsidRPr="005F19CB" w:rsidRDefault="007E53A1" w:rsidP="007E53A1">
      <w:pPr>
        <w:spacing w:line="360" w:lineRule="auto"/>
        <w:jc w:val="both"/>
        <w:rPr>
          <w:b/>
        </w:rPr>
      </w:pPr>
      <w:r w:rsidRPr="005F19CB">
        <w:rPr>
          <w:b/>
        </w:rPr>
        <w:t>Q.</w:t>
      </w:r>
      <w:r w:rsidRPr="005F19CB">
        <w:rPr>
          <w:b/>
        </w:rPr>
        <w:tab/>
        <w:t>PLEASE STATE YOUR NAME</w:t>
      </w:r>
      <w:r>
        <w:rPr>
          <w:b/>
        </w:rPr>
        <w:t>S</w:t>
      </w:r>
      <w:r w:rsidRPr="005F19CB">
        <w:rPr>
          <w:b/>
        </w:rPr>
        <w:t>, TITLE</w:t>
      </w:r>
      <w:r>
        <w:rPr>
          <w:b/>
        </w:rPr>
        <w:t>S</w:t>
      </w:r>
      <w:r w:rsidRPr="005F19CB">
        <w:rPr>
          <w:b/>
        </w:rPr>
        <w:t>, AND BUSINESS ADDRESS</w:t>
      </w:r>
      <w:r>
        <w:rPr>
          <w:b/>
        </w:rPr>
        <w:t>ES</w:t>
      </w:r>
      <w:r w:rsidRPr="005F19CB">
        <w:rPr>
          <w:b/>
        </w:rPr>
        <w:t>.</w:t>
      </w:r>
    </w:p>
    <w:p w14:paraId="2D600300" w14:textId="77777777" w:rsidR="007E53A1" w:rsidRPr="008D6025" w:rsidRDefault="007E53A1" w:rsidP="007E53A1">
      <w:pPr>
        <w:spacing w:line="360" w:lineRule="auto"/>
        <w:ind w:left="720" w:hanging="720"/>
        <w:jc w:val="both"/>
      </w:pPr>
      <w:r w:rsidRPr="005F19CB">
        <w:t>A.</w:t>
      </w:r>
      <w:r w:rsidRPr="005F19CB">
        <w:tab/>
      </w:r>
      <w:r>
        <w:t>David P. Poroch</w:t>
      </w:r>
      <w:r w:rsidRPr="005F19CB">
        <w:t xml:space="preserve">.  I am </w:t>
      </w:r>
      <w:r>
        <w:t>Executive Vice President, Chief Financial Officer, Treasurer</w:t>
      </w:r>
      <w:r w:rsidR="00C512F5">
        <w:t>,</w:t>
      </w:r>
      <w:r w:rsidRPr="005F19CB">
        <w:t xml:space="preserve"> </w:t>
      </w:r>
      <w:r>
        <w:t xml:space="preserve">and Comptroller </w:t>
      </w:r>
      <w:r w:rsidRPr="005F19CB">
        <w:t xml:space="preserve">for Georgia Power Company (“Georgia Power” or the “Company”).  My </w:t>
      </w:r>
      <w:r w:rsidRPr="008D6025">
        <w:t>business address is 241 Ralph McGill Boulevard, Atlanta, Georgia 30308.</w:t>
      </w:r>
      <w:r w:rsidR="008D6025">
        <w:tab/>
      </w:r>
      <w:r w:rsidR="008D6025">
        <w:tab/>
      </w:r>
      <w:r w:rsidR="008D6025">
        <w:tab/>
      </w:r>
      <w:r w:rsidR="008D6025">
        <w:tab/>
      </w:r>
    </w:p>
    <w:p w14:paraId="575FCFB8" w14:textId="77777777" w:rsidR="007E53A1" w:rsidRDefault="00B849AD" w:rsidP="00B849AD">
      <w:pPr>
        <w:pStyle w:val="ListParagraph"/>
        <w:spacing w:line="360" w:lineRule="auto"/>
        <w:ind w:hanging="720"/>
        <w:jc w:val="both"/>
      </w:pPr>
      <w:r>
        <w:t xml:space="preserve">A. </w:t>
      </w:r>
      <w:r>
        <w:tab/>
      </w:r>
      <w:r w:rsidR="007E53A1">
        <w:t xml:space="preserve">Sarah P. Adams.  </w:t>
      </w:r>
      <w:r w:rsidR="007E53A1" w:rsidRPr="005F19CB">
        <w:t>I am Assistant Comptroller for Georgia Power.  My business address is 241 Ralph McGill Boulevard, Atlanta, Georgia 30308.</w:t>
      </w:r>
    </w:p>
    <w:p w14:paraId="11B0B2F1" w14:textId="77777777" w:rsidR="007E53A1" w:rsidRDefault="007E53A1" w:rsidP="007E53A1">
      <w:pPr>
        <w:pStyle w:val="ListParagraph"/>
        <w:tabs>
          <w:tab w:val="left" w:pos="1080"/>
        </w:tabs>
        <w:spacing w:line="360" w:lineRule="auto"/>
        <w:ind w:left="1080"/>
        <w:jc w:val="both"/>
      </w:pPr>
    </w:p>
    <w:p w14:paraId="42CD8D02" w14:textId="237C8745" w:rsidR="007E53A1" w:rsidRDefault="00B849AD" w:rsidP="00B849AD">
      <w:pPr>
        <w:spacing w:line="360" w:lineRule="auto"/>
        <w:ind w:left="720" w:hanging="720"/>
        <w:jc w:val="both"/>
      </w:pPr>
      <w:r>
        <w:t>A.</w:t>
      </w:r>
      <w:r>
        <w:tab/>
      </w:r>
      <w:r w:rsidR="007E53A1">
        <w:t xml:space="preserve">Michael B. Robinson.  </w:t>
      </w:r>
      <w:r w:rsidR="007E53A1" w:rsidRPr="00EE387E">
        <w:t xml:space="preserve">I am the Power Delivery Operations General Manager </w:t>
      </w:r>
      <w:r w:rsidR="006B26B2">
        <w:t xml:space="preserve">for </w:t>
      </w:r>
      <w:r w:rsidR="007E53A1" w:rsidRPr="00EE387E">
        <w:t>Georgia Power</w:t>
      </w:r>
      <w:r w:rsidR="00293939">
        <w:t xml:space="preserve">.  </w:t>
      </w:r>
      <w:r w:rsidR="007E53A1" w:rsidRPr="005F19CB">
        <w:t>My business address is 241 Ralph McGill Boulevard, Atlanta, Georgia 30308.</w:t>
      </w:r>
    </w:p>
    <w:p w14:paraId="62A76E2D" w14:textId="77777777" w:rsidR="007E53A1" w:rsidRPr="005F19CB" w:rsidRDefault="007E53A1" w:rsidP="007E53A1">
      <w:pPr>
        <w:spacing w:line="360" w:lineRule="auto"/>
        <w:ind w:left="720" w:hanging="720"/>
        <w:jc w:val="both"/>
      </w:pPr>
    </w:p>
    <w:p w14:paraId="35E7474F" w14:textId="77777777" w:rsidR="00F143F1" w:rsidRDefault="007E53A1" w:rsidP="00F143F1">
      <w:pPr>
        <w:spacing w:line="360" w:lineRule="auto"/>
        <w:ind w:left="720" w:hanging="720"/>
        <w:jc w:val="both"/>
        <w:rPr>
          <w:b/>
        </w:rPr>
      </w:pPr>
      <w:r w:rsidRPr="005F19CB">
        <w:rPr>
          <w:b/>
        </w:rPr>
        <w:t>Q.</w:t>
      </w:r>
      <w:r w:rsidRPr="005F19CB">
        <w:rPr>
          <w:b/>
        </w:rPr>
        <w:tab/>
        <w:t>M</w:t>
      </w:r>
      <w:r>
        <w:rPr>
          <w:b/>
        </w:rPr>
        <w:t>R</w:t>
      </w:r>
      <w:r w:rsidRPr="005F19CB">
        <w:rPr>
          <w:b/>
        </w:rPr>
        <w:t>. P</w:t>
      </w:r>
      <w:r>
        <w:rPr>
          <w:b/>
        </w:rPr>
        <w:t>OROCH</w:t>
      </w:r>
      <w:r w:rsidRPr="005F19CB">
        <w:rPr>
          <w:b/>
        </w:rPr>
        <w:t>, PLEASE SUMMARIZE YOUR EDUCATIONAL AND PROFESSIONAL EXPERIENCE.</w:t>
      </w:r>
    </w:p>
    <w:p w14:paraId="19BF78F9" w14:textId="2F7282AD" w:rsidR="0041178E" w:rsidRDefault="00F143F1" w:rsidP="0041178E">
      <w:pPr>
        <w:spacing w:line="360" w:lineRule="auto"/>
        <w:ind w:left="720" w:hanging="720"/>
        <w:jc w:val="both"/>
      </w:pPr>
      <w:r>
        <w:t>A.</w:t>
      </w:r>
      <w:r>
        <w:tab/>
      </w:r>
      <w:r w:rsidR="007E53A1" w:rsidRPr="00C40BB0">
        <w:t xml:space="preserve">I graduated from Northwood University in 1991 with a Bachelor of Business Administration degree in Accounting. </w:t>
      </w:r>
      <w:r w:rsidR="007E53A1">
        <w:t xml:space="preserve"> </w:t>
      </w:r>
      <w:r w:rsidR="007E53A1" w:rsidRPr="00C40BB0">
        <w:t>I began my career in the audit practice of Deloitte &amp; Touche LLP and progressed through staff, senior, manager</w:t>
      </w:r>
      <w:r w:rsidR="00746765">
        <w:t>,</w:t>
      </w:r>
      <w:r w:rsidR="007E53A1" w:rsidRPr="00C40BB0">
        <w:t xml:space="preserve"> and senior manager positions. </w:t>
      </w:r>
      <w:r w:rsidR="00B849AD">
        <w:t xml:space="preserve"> </w:t>
      </w:r>
      <w:r w:rsidR="007E53A1" w:rsidRPr="00C40BB0">
        <w:t>In 2003, I was promoted to partner</w:t>
      </w:r>
      <w:r w:rsidR="00537DB9" w:rsidRPr="00C40BB0">
        <w:t xml:space="preserve">.  </w:t>
      </w:r>
      <w:r w:rsidR="007E53A1" w:rsidRPr="00C40BB0">
        <w:t xml:space="preserve">I have </w:t>
      </w:r>
      <w:r w:rsidR="007E53A1">
        <w:t>22</w:t>
      </w:r>
      <w:r w:rsidR="007E53A1" w:rsidRPr="00C40BB0">
        <w:t xml:space="preserve"> years of experience in the utilities sector of the energy industry and additional significant experience in financial services.</w:t>
      </w:r>
      <w:r w:rsidR="0041178E">
        <w:rPr>
          <w:lang w:eastAsia="en-US"/>
        </w:rPr>
        <w:br w:type="page"/>
      </w:r>
    </w:p>
    <w:p w14:paraId="6190B81B" w14:textId="53BD41F8" w:rsidR="00083F23" w:rsidRDefault="007E53A1" w:rsidP="00F1640B">
      <w:pPr>
        <w:pStyle w:val="NormalWeb"/>
        <w:spacing w:before="0" w:beforeAutospacing="0" w:after="0" w:afterAutospacing="0" w:line="360" w:lineRule="auto"/>
        <w:ind w:left="720"/>
        <w:jc w:val="both"/>
      </w:pPr>
      <w:r>
        <w:lastRenderedPageBreak/>
        <w:t xml:space="preserve">In January 2012, I joined Southern Company Services as Chief Audit Executive and was promoted to Vice President in August 2012.  In this role, I was responsible for overseeing the internal auditing services of Southern Company and its subsidiaries.  In August 2014, I joined Georgia Power as Vice President and Comptroller.  In April 2019, I assumed my current position </w:t>
      </w:r>
      <w:r w:rsidR="006B26B2">
        <w:t xml:space="preserve">as </w:t>
      </w:r>
      <w:r>
        <w:t>Executive Vice President, Chief Financial Officer</w:t>
      </w:r>
      <w:r w:rsidR="00947DAB">
        <w:t>,</w:t>
      </w:r>
      <w:r>
        <w:t xml:space="preserve"> Treasurer</w:t>
      </w:r>
      <w:r w:rsidR="00947DAB">
        <w:t>,</w:t>
      </w:r>
      <w:r>
        <w:t xml:space="preserve"> and Comptroller o</w:t>
      </w:r>
      <w:r w:rsidRPr="005F19CB">
        <w:t>f Georgia Power</w:t>
      </w:r>
      <w:r>
        <w:t xml:space="preserve">.  </w:t>
      </w:r>
      <w:r w:rsidRPr="00E76036">
        <w:t>In my current position, I am responsible for the financial and accounting functions of the Company.  My duties include overseeing corporate accounting in accordance with generally accepted accounting principles</w:t>
      </w:r>
      <w:r w:rsidR="00201284">
        <w:t xml:space="preserve"> (“GAAP”)</w:t>
      </w:r>
      <w:r w:rsidRPr="00E76036">
        <w:t xml:space="preserve"> and various regulatory requirements and the preparation and filing of financial reports and regulatory filings, including rate cases.  I also oversee </w:t>
      </w:r>
      <w:r>
        <w:t xml:space="preserve">budgeting, </w:t>
      </w:r>
      <w:r w:rsidRPr="00E76036">
        <w:t>financial planning and analysis</w:t>
      </w:r>
      <w:r w:rsidR="00201284">
        <w:t>,</w:t>
      </w:r>
      <w:r w:rsidRPr="00E76036">
        <w:t xml:space="preserve"> and treasury activities of the Company</w:t>
      </w:r>
      <w:r>
        <w:t>.</w:t>
      </w:r>
      <w:r w:rsidRPr="00E76036">
        <w:t xml:space="preserve">  </w:t>
      </w:r>
      <w:r>
        <w:t>I am also a Certified Public Accountant, licensed in Michigan, Georgia, and Florida.</w:t>
      </w:r>
      <w:r w:rsidR="00184F36">
        <w:tab/>
      </w:r>
      <w:r w:rsidR="00184F36">
        <w:tab/>
      </w:r>
      <w:r w:rsidR="00184F36">
        <w:tab/>
      </w:r>
      <w:r w:rsidR="00184F36">
        <w:tab/>
      </w:r>
      <w:r w:rsidR="00184F36">
        <w:tab/>
      </w:r>
      <w:r w:rsidR="00184F36">
        <w:tab/>
      </w:r>
      <w:r w:rsidR="00184F36">
        <w:tab/>
      </w:r>
      <w:r w:rsidR="00184F36">
        <w:tab/>
      </w:r>
    </w:p>
    <w:p w14:paraId="07F3C0E0" w14:textId="77777777" w:rsidR="007E53A1" w:rsidRPr="005F19CB" w:rsidRDefault="007E53A1" w:rsidP="009B6905">
      <w:pPr>
        <w:keepNext/>
        <w:spacing w:line="360" w:lineRule="auto"/>
        <w:ind w:left="720" w:hanging="720"/>
        <w:jc w:val="both"/>
        <w:rPr>
          <w:b/>
        </w:rPr>
      </w:pPr>
      <w:r w:rsidRPr="005F19CB">
        <w:rPr>
          <w:b/>
        </w:rPr>
        <w:t>Q.</w:t>
      </w:r>
      <w:r w:rsidRPr="005F19CB">
        <w:rPr>
          <w:b/>
        </w:rPr>
        <w:tab/>
        <w:t>M</w:t>
      </w:r>
      <w:r>
        <w:rPr>
          <w:b/>
        </w:rPr>
        <w:t>R</w:t>
      </w:r>
      <w:r w:rsidRPr="005F19CB">
        <w:rPr>
          <w:b/>
        </w:rPr>
        <w:t>. P</w:t>
      </w:r>
      <w:r>
        <w:rPr>
          <w:b/>
        </w:rPr>
        <w:t>OROCH,</w:t>
      </w:r>
      <w:r w:rsidRPr="005F19CB">
        <w:rPr>
          <w:b/>
        </w:rPr>
        <w:t xml:space="preserve"> HAVE YOU PREVIOUSLY TESTIFIED BEFORE </w:t>
      </w:r>
      <w:r>
        <w:rPr>
          <w:b/>
        </w:rPr>
        <w:t>THE GEORGIA PUBLIC SERVICE</w:t>
      </w:r>
      <w:r w:rsidRPr="005F19CB">
        <w:rPr>
          <w:b/>
        </w:rPr>
        <w:t xml:space="preserve"> COMMISSION</w:t>
      </w:r>
      <w:r>
        <w:rPr>
          <w:b/>
        </w:rPr>
        <w:t xml:space="preserve"> (“COMMISSION”)</w:t>
      </w:r>
      <w:r w:rsidRPr="005F19CB">
        <w:rPr>
          <w:b/>
        </w:rPr>
        <w:t>?</w:t>
      </w:r>
    </w:p>
    <w:p w14:paraId="2D3AF56B" w14:textId="77777777" w:rsidR="007E53A1" w:rsidRDefault="007E53A1" w:rsidP="00FF1E72">
      <w:pPr>
        <w:pStyle w:val="Answer1"/>
        <w:keepNext/>
        <w:numPr>
          <w:ilvl w:val="0"/>
          <w:numId w:val="0"/>
        </w:numPr>
        <w:spacing w:after="0"/>
        <w:ind w:left="720" w:hanging="720"/>
        <w:jc w:val="both"/>
        <w:rPr>
          <w:rFonts w:ascii="Times New Roman"/>
          <w:sz w:val="24"/>
        </w:rPr>
      </w:pPr>
      <w:r>
        <w:rPr>
          <w:rFonts w:ascii="Times New Roman"/>
          <w:sz w:val="24"/>
        </w:rPr>
        <w:t>A.</w:t>
      </w:r>
      <w:r>
        <w:rPr>
          <w:rFonts w:ascii="Times New Roman"/>
          <w:sz w:val="24"/>
        </w:rPr>
        <w:tab/>
      </w:r>
      <w:r w:rsidRPr="00773FCC">
        <w:rPr>
          <w:rFonts w:ascii="Times New Roman"/>
          <w:sz w:val="24"/>
        </w:rPr>
        <w:t xml:space="preserve">Yes, I testified </w:t>
      </w:r>
      <w:r w:rsidR="00201284">
        <w:rPr>
          <w:rFonts w:ascii="Times New Roman"/>
          <w:sz w:val="24"/>
        </w:rPr>
        <w:t xml:space="preserve">before this Commission </w:t>
      </w:r>
      <w:r w:rsidRPr="00773FCC">
        <w:rPr>
          <w:rFonts w:ascii="Times New Roman"/>
          <w:sz w:val="24"/>
        </w:rPr>
        <w:t>regarding the Fifteenth</w:t>
      </w:r>
      <w:r>
        <w:rPr>
          <w:rFonts w:ascii="Times New Roman"/>
          <w:sz w:val="24"/>
        </w:rPr>
        <w:t>,</w:t>
      </w:r>
      <w:r w:rsidRPr="00773FCC">
        <w:rPr>
          <w:rFonts w:ascii="Times New Roman"/>
          <w:sz w:val="24"/>
        </w:rPr>
        <w:t xml:space="preserve"> Sixteenth</w:t>
      </w:r>
      <w:r>
        <w:rPr>
          <w:rFonts w:ascii="Times New Roman"/>
          <w:sz w:val="24"/>
        </w:rPr>
        <w:t xml:space="preserve"> and Seventeenth </w:t>
      </w:r>
      <w:r w:rsidRPr="00773FCC">
        <w:rPr>
          <w:rFonts w:ascii="Times New Roman"/>
          <w:sz w:val="24"/>
        </w:rPr>
        <w:t xml:space="preserve">Semi-Annual </w:t>
      </w:r>
      <w:r>
        <w:rPr>
          <w:rFonts w:ascii="Times New Roman"/>
          <w:sz w:val="24"/>
        </w:rPr>
        <w:t xml:space="preserve">Vogtle Construction Monitoring (“VCM”) </w:t>
      </w:r>
      <w:r w:rsidRPr="00773FCC">
        <w:rPr>
          <w:rFonts w:ascii="Times New Roman"/>
          <w:sz w:val="24"/>
        </w:rPr>
        <w:t>Reports and the Supplemental Information, Staff Review, and Opportunity for Settlement</w:t>
      </w:r>
      <w:r>
        <w:rPr>
          <w:rFonts w:ascii="Times New Roman"/>
          <w:sz w:val="24"/>
        </w:rPr>
        <w:t xml:space="preserve"> in Docket No. 29849</w:t>
      </w:r>
      <w:r w:rsidRPr="00773FCC">
        <w:rPr>
          <w:rFonts w:ascii="Times New Roman"/>
          <w:sz w:val="24"/>
        </w:rPr>
        <w:t>.</w:t>
      </w:r>
      <w:r>
        <w:rPr>
          <w:rFonts w:ascii="Times New Roman"/>
          <w:sz w:val="24"/>
        </w:rPr>
        <w:t xml:space="preserve"> </w:t>
      </w:r>
      <w:r w:rsidRPr="00773FCC">
        <w:rPr>
          <w:rFonts w:ascii="Times New Roman"/>
          <w:sz w:val="24"/>
        </w:rPr>
        <w:t xml:space="preserve"> I also testified in the Company’s Fuel Cost Recovery proceeding in Docket No. 39638.</w:t>
      </w:r>
    </w:p>
    <w:p w14:paraId="49E5CB82" w14:textId="77777777" w:rsidR="00651F6D" w:rsidRPr="0060206C" w:rsidRDefault="00651F6D" w:rsidP="00BB42D1">
      <w:pPr>
        <w:pStyle w:val="BodyText"/>
        <w:spacing w:before="0"/>
      </w:pPr>
    </w:p>
    <w:p w14:paraId="0FBD1891" w14:textId="77777777" w:rsidR="007E53A1" w:rsidRPr="005F19CB" w:rsidRDefault="007E53A1" w:rsidP="007E53A1">
      <w:pPr>
        <w:pStyle w:val="NormalWeb"/>
        <w:spacing w:before="0" w:beforeAutospacing="0" w:after="0" w:afterAutospacing="0" w:line="360" w:lineRule="auto"/>
        <w:ind w:left="720" w:hanging="720"/>
        <w:jc w:val="both"/>
        <w:rPr>
          <w:b/>
        </w:rPr>
      </w:pPr>
      <w:r w:rsidRPr="005F19CB">
        <w:rPr>
          <w:b/>
        </w:rPr>
        <w:t>Q.</w:t>
      </w:r>
      <w:r w:rsidRPr="005F19CB">
        <w:rPr>
          <w:b/>
        </w:rPr>
        <w:tab/>
        <w:t>M</w:t>
      </w:r>
      <w:r>
        <w:rPr>
          <w:b/>
        </w:rPr>
        <w:t>S</w:t>
      </w:r>
      <w:r w:rsidRPr="005F19CB">
        <w:rPr>
          <w:b/>
        </w:rPr>
        <w:t xml:space="preserve">. </w:t>
      </w:r>
      <w:r>
        <w:rPr>
          <w:b/>
        </w:rPr>
        <w:t>ADAMS</w:t>
      </w:r>
      <w:r w:rsidRPr="005F19CB">
        <w:rPr>
          <w:b/>
        </w:rPr>
        <w:t>, PLEASE SUMMARIZE YOUR EDUCATIONAL AND PROFESSIONAL EXPERIENCE.</w:t>
      </w:r>
    </w:p>
    <w:p w14:paraId="64641A16" w14:textId="50C28C16" w:rsidR="007E53A1" w:rsidRDefault="007E53A1" w:rsidP="007E53A1">
      <w:pPr>
        <w:pStyle w:val="NormalWeb"/>
        <w:spacing w:before="0" w:beforeAutospacing="0" w:after="0" w:afterAutospacing="0" w:line="360" w:lineRule="auto"/>
        <w:ind w:left="720" w:hanging="720"/>
        <w:jc w:val="both"/>
      </w:pPr>
      <w:r w:rsidRPr="005F19CB">
        <w:t>A.</w:t>
      </w:r>
      <w:r w:rsidRPr="005F19CB">
        <w:tab/>
        <w:t xml:space="preserve">I graduated from </w:t>
      </w:r>
      <w:r w:rsidR="000E0562">
        <w:t xml:space="preserve">the </w:t>
      </w:r>
      <w:r w:rsidRPr="005F19CB">
        <w:t xml:space="preserve">University of </w:t>
      </w:r>
      <w:r>
        <w:t>Georgia</w:t>
      </w:r>
      <w:r w:rsidRPr="005F19CB">
        <w:t xml:space="preserve"> </w:t>
      </w:r>
      <w:r w:rsidR="00BA175C">
        <w:t xml:space="preserve">in 1993 with a Bachelor of Science in Middle School Education and </w:t>
      </w:r>
      <w:r w:rsidR="00931401">
        <w:t xml:space="preserve">in 1998 with </w:t>
      </w:r>
      <w:r w:rsidR="00BA175C">
        <w:t>a</w:t>
      </w:r>
      <w:r w:rsidRPr="005F19CB">
        <w:t xml:space="preserve"> </w:t>
      </w:r>
      <w:r>
        <w:t>Master of Accountancy degree</w:t>
      </w:r>
      <w:r w:rsidR="00BA175C">
        <w:t xml:space="preserve">.  I </w:t>
      </w:r>
      <w:r w:rsidRPr="005F19CB">
        <w:t xml:space="preserve">began my </w:t>
      </w:r>
      <w:r>
        <w:t xml:space="preserve">professional accounting </w:t>
      </w:r>
      <w:r w:rsidRPr="005F19CB">
        <w:t xml:space="preserve">career </w:t>
      </w:r>
      <w:r>
        <w:t xml:space="preserve">with Arthur Andersen, LLP in Atlanta as an auditor primarily serving Southern Company.  </w:t>
      </w:r>
      <w:r w:rsidR="00BA175C">
        <w:t>From 2002 to 2003 I served as</w:t>
      </w:r>
      <w:r w:rsidR="00A71DC5">
        <w:t xml:space="preserve"> senior financial analyst</w:t>
      </w:r>
      <w:r w:rsidR="00BA175C">
        <w:t xml:space="preserve"> </w:t>
      </w:r>
      <w:r w:rsidR="00931401">
        <w:t>at</w:t>
      </w:r>
      <w:r w:rsidR="00BA175C">
        <w:t xml:space="preserve"> Mirant</w:t>
      </w:r>
      <w:r w:rsidR="00931401">
        <w:t xml:space="preserve"> Corporation.  </w:t>
      </w:r>
      <w:r w:rsidRPr="005F19CB">
        <w:t xml:space="preserve">In 2003, I </w:t>
      </w:r>
      <w:r>
        <w:t>joined</w:t>
      </w:r>
      <w:r w:rsidRPr="005F19CB">
        <w:t xml:space="preserve"> Southern Company</w:t>
      </w:r>
      <w:r>
        <w:t xml:space="preserve"> and held several leadership positions in the Southern Company Generation and Southern Power Company organizations.  </w:t>
      </w:r>
      <w:r w:rsidRPr="005F19CB">
        <w:t>In 2011</w:t>
      </w:r>
      <w:r>
        <w:t xml:space="preserve">, I joined Georgia Power as the </w:t>
      </w:r>
      <w:r w:rsidR="00562CF0">
        <w:t>m</w:t>
      </w:r>
      <w:r>
        <w:t xml:space="preserve">anager of </w:t>
      </w:r>
      <w:r w:rsidR="00562CF0">
        <w:t>f</w:t>
      </w:r>
      <w:r>
        <w:t xml:space="preserve">uel and </w:t>
      </w:r>
      <w:r w:rsidR="00562CF0">
        <w:t>b</w:t>
      </w:r>
      <w:r>
        <w:t xml:space="preserve">ulk </w:t>
      </w:r>
      <w:r w:rsidR="00562CF0">
        <w:t>p</w:t>
      </w:r>
      <w:r>
        <w:t xml:space="preserve">ower </w:t>
      </w:r>
      <w:r w:rsidR="00562CF0">
        <w:lastRenderedPageBreak/>
        <w:t>a</w:t>
      </w:r>
      <w:r>
        <w:t>ccounting and led several departments</w:t>
      </w:r>
      <w:r w:rsidR="00C618ED">
        <w:t>,</w:t>
      </w:r>
      <w:r>
        <w:t xml:space="preserve"> including </w:t>
      </w:r>
      <w:r w:rsidR="00562CF0">
        <w:t>i</w:t>
      </w:r>
      <w:r>
        <w:t xml:space="preserve">nternal </w:t>
      </w:r>
      <w:r w:rsidR="00562CF0">
        <w:t>c</w:t>
      </w:r>
      <w:r>
        <w:t xml:space="preserve">ontrols &amp; </w:t>
      </w:r>
      <w:r w:rsidR="00562CF0">
        <w:t>c</w:t>
      </w:r>
      <w:r>
        <w:t xml:space="preserve">ompliance, </w:t>
      </w:r>
      <w:r w:rsidR="00562CF0">
        <w:t>c</w:t>
      </w:r>
      <w:r>
        <w:t xml:space="preserve">orporate </w:t>
      </w:r>
      <w:r w:rsidR="00562CF0">
        <w:t>s</w:t>
      </w:r>
      <w:r>
        <w:t xml:space="preserve">ecretary </w:t>
      </w:r>
      <w:r w:rsidR="00562CF0">
        <w:t>s</w:t>
      </w:r>
      <w:r>
        <w:t xml:space="preserve">upport, </w:t>
      </w:r>
      <w:r w:rsidR="00C618ED">
        <w:t xml:space="preserve">and </w:t>
      </w:r>
      <w:r w:rsidR="00562CF0">
        <w:t>a</w:t>
      </w:r>
      <w:r>
        <w:t xml:space="preserve">ccounting &amp; </w:t>
      </w:r>
      <w:r w:rsidR="00562CF0">
        <w:t>f</w:t>
      </w:r>
      <w:r>
        <w:t xml:space="preserve">inance </w:t>
      </w:r>
      <w:r w:rsidR="00562CF0">
        <w:t>o</w:t>
      </w:r>
      <w:r>
        <w:t xml:space="preserve">perations before being elected </w:t>
      </w:r>
      <w:r w:rsidR="00C618ED">
        <w:t xml:space="preserve">to my current position </w:t>
      </w:r>
      <w:r>
        <w:t>as Assistant Comptroller in 2017.  M</w:t>
      </w:r>
      <w:r w:rsidRPr="005F19CB">
        <w:t xml:space="preserve">y responsibilities include management and oversight of </w:t>
      </w:r>
      <w:r>
        <w:t xml:space="preserve">accounting research, preparation of financial statements in accordance with </w:t>
      </w:r>
      <w:r w:rsidR="00131682">
        <w:t>GAAP</w:t>
      </w:r>
      <w:r>
        <w:t xml:space="preserve"> as well as regulatory accounting filings with the </w:t>
      </w:r>
      <w:r w:rsidR="00C618ED">
        <w:t>Commission</w:t>
      </w:r>
      <w:r w:rsidRPr="005F19CB">
        <w:t xml:space="preserve">.  I am a </w:t>
      </w:r>
      <w:r>
        <w:t>Certified Public Accountant licensed in Georgia.</w:t>
      </w:r>
      <w:r w:rsidRPr="005F19CB">
        <w:t xml:space="preserve"> </w:t>
      </w:r>
      <w:r>
        <w:tab/>
      </w:r>
      <w:r>
        <w:tab/>
      </w:r>
      <w:r>
        <w:tab/>
      </w:r>
      <w:r>
        <w:tab/>
      </w:r>
      <w:r>
        <w:tab/>
      </w:r>
      <w:r>
        <w:tab/>
      </w:r>
      <w:r>
        <w:tab/>
      </w:r>
      <w:r>
        <w:tab/>
      </w:r>
      <w:r>
        <w:tab/>
      </w:r>
      <w:r>
        <w:tab/>
      </w:r>
      <w:r>
        <w:tab/>
      </w:r>
      <w:r>
        <w:tab/>
      </w:r>
      <w:r>
        <w:tab/>
      </w:r>
      <w:r>
        <w:tab/>
      </w:r>
    </w:p>
    <w:p w14:paraId="6F49ACA9" w14:textId="77777777" w:rsidR="007E53A1" w:rsidRPr="005F19CB" w:rsidRDefault="007E53A1" w:rsidP="007E53A1">
      <w:pPr>
        <w:pStyle w:val="NormalWeb"/>
        <w:spacing w:before="0" w:beforeAutospacing="0" w:after="0" w:afterAutospacing="0" w:line="360" w:lineRule="auto"/>
        <w:ind w:left="720" w:hanging="720"/>
        <w:jc w:val="both"/>
        <w:rPr>
          <w:b/>
        </w:rPr>
      </w:pPr>
      <w:r w:rsidRPr="005F19CB">
        <w:rPr>
          <w:b/>
        </w:rPr>
        <w:t>Q.</w:t>
      </w:r>
      <w:r w:rsidRPr="005F19CB">
        <w:rPr>
          <w:b/>
        </w:rPr>
        <w:tab/>
        <w:t>M</w:t>
      </w:r>
      <w:r>
        <w:rPr>
          <w:b/>
        </w:rPr>
        <w:t>S</w:t>
      </w:r>
      <w:r w:rsidRPr="005F19CB">
        <w:rPr>
          <w:b/>
        </w:rPr>
        <w:t xml:space="preserve">. </w:t>
      </w:r>
      <w:r>
        <w:rPr>
          <w:b/>
        </w:rPr>
        <w:t>ADAMS</w:t>
      </w:r>
      <w:r w:rsidRPr="005F19CB">
        <w:rPr>
          <w:b/>
        </w:rPr>
        <w:t xml:space="preserve">, HAVE YOU </w:t>
      </w:r>
      <w:r>
        <w:rPr>
          <w:b/>
        </w:rPr>
        <w:t xml:space="preserve">PREVIOUSLY </w:t>
      </w:r>
      <w:r w:rsidRPr="005F19CB">
        <w:rPr>
          <w:b/>
        </w:rPr>
        <w:t>TESTIFIED BEFORE TH</w:t>
      </w:r>
      <w:r>
        <w:rPr>
          <w:b/>
        </w:rPr>
        <w:t>E</w:t>
      </w:r>
      <w:r w:rsidRPr="005F19CB">
        <w:rPr>
          <w:b/>
        </w:rPr>
        <w:t xml:space="preserve"> COMMISSION?</w:t>
      </w:r>
    </w:p>
    <w:p w14:paraId="7871B418" w14:textId="77777777" w:rsidR="007E53A1" w:rsidRDefault="007E53A1" w:rsidP="00FF1E72">
      <w:pPr>
        <w:pStyle w:val="NormalWeb"/>
        <w:spacing w:before="0" w:beforeAutospacing="0" w:after="0" w:afterAutospacing="0" w:line="360" w:lineRule="auto"/>
        <w:jc w:val="both"/>
      </w:pPr>
      <w:r w:rsidRPr="005F19CB">
        <w:t>A.</w:t>
      </w:r>
      <w:r w:rsidRPr="005F19CB">
        <w:tab/>
      </w:r>
      <w:r>
        <w:t>No</w:t>
      </w:r>
      <w:r w:rsidRPr="007A757D">
        <w:rPr>
          <w:rFonts w:eastAsia="Times New Roman"/>
          <w:szCs w:val="20"/>
        </w:rPr>
        <w:t>, I have not</w:t>
      </w:r>
      <w:r w:rsidR="00C618ED">
        <w:rPr>
          <w:rFonts w:eastAsia="Times New Roman"/>
          <w:szCs w:val="20"/>
        </w:rPr>
        <w:t xml:space="preserve"> previously</w:t>
      </w:r>
      <w:r w:rsidRPr="007A757D">
        <w:rPr>
          <w:rFonts w:eastAsia="Times New Roman"/>
          <w:szCs w:val="20"/>
        </w:rPr>
        <w:t xml:space="preserve"> testified before the Commission</w:t>
      </w:r>
      <w:r w:rsidRPr="005F19CB">
        <w:t>.</w:t>
      </w:r>
    </w:p>
    <w:p w14:paraId="3D1701B8" w14:textId="77777777" w:rsidR="006C47DC" w:rsidRDefault="006C47DC" w:rsidP="009B6905">
      <w:pPr>
        <w:pStyle w:val="NormalWeb"/>
        <w:spacing w:before="0" w:beforeAutospacing="0" w:after="0" w:afterAutospacing="0" w:line="360" w:lineRule="auto"/>
        <w:jc w:val="both"/>
      </w:pPr>
    </w:p>
    <w:p w14:paraId="36A9B335" w14:textId="77777777" w:rsidR="007E53A1" w:rsidRPr="007A757D" w:rsidRDefault="007E53A1" w:rsidP="009B6905">
      <w:pPr>
        <w:keepNext/>
        <w:numPr>
          <w:ilvl w:val="1"/>
          <w:numId w:val="0"/>
        </w:numPr>
        <w:tabs>
          <w:tab w:val="num" w:pos="720"/>
        </w:tabs>
        <w:spacing w:line="360" w:lineRule="auto"/>
        <w:ind w:left="720" w:hanging="720"/>
        <w:jc w:val="both"/>
        <w:outlineLvl w:val="1"/>
        <w:rPr>
          <w:rFonts w:eastAsia="MS Mincho"/>
          <w:b/>
          <w:szCs w:val="20"/>
          <w:lang w:eastAsia="en-US"/>
        </w:rPr>
      </w:pPr>
      <w:r>
        <w:rPr>
          <w:rFonts w:eastAsia="Times New Roman"/>
          <w:b/>
          <w:szCs w:val="20"/>
          <w:lang w:eastAsia="en-US"/>
        </w:rPr>
        <w:t xml:space="preserve">Q. </w:t>
      </w:r>
      <w:r>
        <w:rPr>
          <w:rFonts w:eastAsia="Times New Roman"/>
          <w:b/>
          <w:szCs w:val="20"/>
          <w:lang w:eastAsia="en-US"/>
        </w:rPr>
        <w:tab/>
      </w:r>
      <w:r w:rsidRPr="007A757D">
        <w:rPr>
          <w:rFonts w:eastAsia="Times New Roman"/>
          <w:b/>
          <w:szCs w:val="20"/>
          <w:lang w:eastAsia="en-US"/>
        </w:rPr>
        <w:t>MR. ROBINSON, PLEASE SUMMARIZE YOUR EDUCATION AND PROFESSIONAL EXPERIENCE.</w:t>
      </w:r>
      <w:r w:rsidRPr="007A757D">
        <w:rPr>
          <w:rFonts w:eastAsia="MS Mincho"/>
          <w:b/>
          <w:lang w:eastAsia="en-US"/>
        </w:rPr>
        <w:tab/>
      </w:r>
      <w:r w:rsidRPr="007A757D">
        <w:rPr>
          <w:rFonts w:eastAsia="MS Mincho"/>
          <w:b/>
          <w:lang w:eastAsia="en-US"/>
        </w:rPr>
        <w:tab/>
      </w:r>
      <w:r w:rsidRPr="007A757D">
        <w:rPr>
          <w:rFonts w:eastAsia="MS Mincho"/>
          <w:b/>
          <w:lang w:eastAsia="en-US"/>
        </w:rPr>
        <w:tab/>
      </w:r>
    </w:p>
    <w:p w14:paraId="274CB70C" w14:textId="4F93CDE5" w:rsidR="007E53A1" w:rsidRDefault="007E53A1" w:rsidP="009B6905">
      <w:pPr>
        <w:keepNext/>
        <w:numPr>
          <w:ilvl w:val="2"/>
          <w:numId w:val="0"/>
        </w:numPr>
        <w:tabs>
          <w:tab w:val="num" w:pos="2160"/>
        </w:tabs>
        <w:spacing w:line="360" w:lineRule="auto"/>
        <w:ind w:left="720" w:hanging="720"/>
        <w:jc w:val="both"/>
        <w:outlineLvl w:val="2"/>
        <w:rPr>
          <w:rFonts w:eastAsia="Times New Roman"/>
          <w:szCs w:val="20"/>
          <w:lang w:eastAsia="en-US"/>
        </w:rPr>
      </w:pPr>
      <w:r>
        <w:rPr>
          <w:rFonts w:eastAsia="Times New Roman"/>
          <w:szCs w:val="20"/>
          <w:lang w:eastAsia="en-US"/>
        </w:rPr>
        <w:t>A.</w:t>
      </w:r>
      <w:r>
        <w:rPr>
          <w:rFonts w:eastAsia="Times New Roman"/>
          <w:szCs w:val="20"/>
          <w:lang w:eastAsia="en-US"/>
        </w:rPr>
        <w:tab/>
      </w:r>
      <w:r w:rsidRPr="007A757D">
        <w:rPr>
          <w:rFonts w:eastAsia="Times New Roman"/>
          <w:szCs w:val="20"/>
          <w:lang w:eastAsia="en-US"/>
        </w:rPr>
        <w:t xml:space="preserve">I graduated from Auburn University in 1993 with a Bachelor of Electrical Engineering, magna cum laude.  I began my career as a cooperative education student with Georgia Power working in distribution and marketing.  After leaving the </w:t>
      </w:r>
      <w:r>
        <w:rPr>
          <w:rFonts w:eastAsia="Times New Roman"/>
          <w:szCs w:val="20"/>
          <w:lang w:eastAsia="en-US"/>
        </w:rPr>
        <w:t>C</w:t>
      </w:r>
      <w:r w:rsidRPr="007A757D">
        <w:rPr>
          <w:rFonts w:eastAsia="Times New Roman"/>
          <w:szCs w:val="20"/>
          <w:lang w:eastAsia="en-US"/>
        </w:rPr>
        <w:t>ompany to serve in the United States Navy, I worked for an electric municipality in Texas, the Kerrville Public Utility Board, for five years where I was responsible for all distribution and substation facilities.</w:t>
      </w:r>
      <w:r>
        <w:rPr>
          <w:rFonts w:eastAsia="Times New Roman"/>
          <w:szCs w:val="20"/>
          <w:lang w:eastAsia="en-US"/>
        </w:rPr>
        <w:t xml:space="preserve">  </w:t>
      </w:r>
      <w:r w:rsidRPr="007A757D">
        <w:rPr>
          <w:rFonts w:eastAsia="Times New Roman"/>
          <w:szCs w:val="20"/>
          <w:lang w:eastAsia="en-US"/>
        </w:rPr>
        <w:t>In 1999, I returned to Southern Company as an engineer on the Enhanced Power Quality team with Alabama Power.  Throughout my career</w:t>
      </w:r>
      <w:r w:rsidR="001A2D29">
        <w:rPr>
          <w:rFonts w:eastAsia="Times New Roman"/>
          <w:szCs w:val="20"/>
          <w:lang w:eastAsia="en-US"/>
        </w:rPr>
        <w:t xml:space="preserve"> at Southern Company,</w:t>
      </w:r>
      <w:r w:rsidRPr="007A757D">
        <w:rPr>
          <w:rFonts w:eastAsia="Times New Roman"/>
          <w:szCs w:val="20"/>
          <w:lang w:eastAsia="en-US"/>
        </w:rPr>
        <w:t xml:space="preserve"> I have served in a variety of positions throughout the system including</w:t>
      </w:r>
      <w:r w:rsidR="00807E51">
        <w:rPr>
          <w:rFonts w:eastAsia="Times New Roman"/>
          <w:szCs w:val="20"/>
          <w:lang w:eastAsia="en-US"/>
        </w:rPr>
        <w:t>:</w:t>
      </w:r>
      <w:r w:rsidRPr="007A757D">
        <w:rPr>
          <w:rFonts w:eastAsia="Times New Roman"/>
          <w:szCs w:val="20"/>
          <w:lang w:eastAsia="en-US"/>
        </w:rPr>
        <w:t xml:space="preserve"> princip</w:t>
      </w:r>
      <w:r w:rsidR="00B655D9">
        <w:rPr>
          <w:rFonts w:eastAsia="Times New Roman"/>
          <w:szCs w:val="20"/>
          <w:lang w:eastAsia="en-US"/>
        </w:rPr>
        <w:t>al</w:t>
      </w:r>
      <w:r w:rsidRPr="007A757D">
        <w:rPr>
          <w:rFonts w:eastAsia="Times New Roman"/>
          <w:szCs w:val="20"/>
          <w:lang w:eastAsia="en-US"/>
        </w:rPr>
        <w:t xml:space="preserve"> engineer in Transmission Planning</w:t>
      </w:r>
      <w:r w:rsidR="00807E51">
        <w:rPr>
          <w:rFonts w:eastAsia="Times New Roman"/>
          <w:szCs w:val="20"/>
          <w:lang w:eastAsia="en-US"/>
        </w:rPr>
        <w:t>;</w:t>
      </w:r>
      <w:r w:rsidRPr="007A757D">
        <w:rPr>
          <w:rFonts w:eastAsia="Times New Roman"/>
          <w:szCs w:val="20"/>
          <w:lang w:eastAsia="en-US"/>
        </w:rPr>
        <w:t xml:space="preserve"> supervisor of the transmission maintenance center in Albany, Georgia</w:t>
      </w:r>
      <w:r w:rsidR="00807E51">
        <w:rPr>
          <w:rFonts w:eastAsia="Times New Roman"/>
          <w:szCs w:val="20"/>
          <w:lang w:eastAsia="en-US"/>
        </w:rPr>
        <w:t>;</w:t>
      </w:r>
      <w:r w:rsidRPr="007A757D">
        <w:rPr>
          <w:rFonts w:eastAsia="Times New Roman"/>
          <w:szCs w:val="20"/>
          <w:lang w:eastAsia="en-US"/>
        </w:rPr>
        <w:t xml:space="preserve"> supervisor of the transmission control center in Valdosta, Georgia</w:t>
      </w:r>
      <w:r w:rsidR="00807E51">
        <w:rPr>
          <w:rFonts w:eastAsia="Times New Roman"/>
          <w:szCs w:val="20"/>
          <w:lang w:eastAsia="en-US"/>
        </w:rPr>
        <w:t>;</w:t>
      </w:r>
      <w:r w:rsidRPr="007A757D">
        <w:rPr>
          <w:rFonts w:eastAsia="Times New Roman"/>
          <w:szCs w:val="20"/>
          <w:lang w:eastAsia="en-US"/>
        </w:rPr>
        <w:t xml:space="preserve"> transmission planning manager</w:t>
      </w:r>
      <w:r w:rsidR="00807E51">
        <w:rPr>
          <w:rFonts w:eastAsia="Times New Roman"/>
          <w:szCs w:val="20"/>
          <w:lang w:eastAsia="en-US"/>
        </w:rPr>
        <w:t>;</w:t>
      </w:r>
      <w:r w:rsidRPr="007A757D">
        <w:rPr>
          <w:rFonts w:eastAsia="Times New Roman"/>
          <w:szCs w:val="20"/>
          <w:lang w:eastAsia="en-US"/>
        </w:rPr>
        <w:t xml:space="preserve"> </w:t>
      </w:r>
      <w:r w:rsidR="00867400">
        <w:rPr>
          <w:rFonts w:eastAsia="Times New Roman"/>
          <w:szCs w:val="20"/>
          <w:lang w:eastAsia="en-US"/>
        </w:rPr>
        <w:t>S</w:t>
      </w:r>
      <w:r w:rsidRPr="007A757D">
        <w:rPr>
          <w:rFonts w:eastAsia="Times New Roman"/>
          <w:szCs w:val="20"/>
          <w:lang w:eastAsia="en-US"/>
        </w:rPr>
        <w:t>outh</w:t>
      </w:r>
      <w:r w:rsidR="00867400">
        <w:rPr>
          <w:rFonts w:eastAsia="Times New Roman"/>
          <w:szCs w:val="20"/>
          <w:lang w:eastAsia="en-US"/>
        </w:rPr>
        <w:t xml:space="preserve"> </w:t>
      </w:r>
      <w:r w:rsidRPr="007A757D">
        <w:rPr>
          <w:rFonts w:eastAsia="Times New Roman"/>
          <w:szCs w:val="20"/>
          <w:lang w:eastAsia="en-US"/>
        </w:rPr>
        <w:t>Georgia area transmission manager</w:t>
      </w:r>
      <w:r w:rsidR="00807E51">
        <w:rPr>
          <w:rFonts w:eastAsia="Times New Roman"/>
          <w:szCs w:val="20"/>
          <w:lang w:eastAsia="en-US"/>
        </w:rPr>
        <w:t>;</w:t>
      </w:r>
      <w:r w:rsidRPr="007A757D">
        <w:rPr>
          <w:rFonts w:eastAsia="Times New Roman"/>
          <w:szCs w:val="20"/>
          <w:lang w:eastAsia="en-US"/>
        </w:rPr>
        <w:t xml:space="preserve"> Metro South distribution manager</w:t>
      </w:r>
      <w:r w:rsidR="00807E51">
        <w:rPr>
          <w:rFonts w:eastAsia="Times New Roman"/>
          <w:szCs w:val="20"/>
          <w:lang w:eastAsia="en-US"/>
        </w:rPr>
        <w:t>;</w:t>
      </w:r>
      <w:r w:rsidRPr="007A757D">
        <w:rPr>
          <w:rFonts w:eastAsia="Times New Roman"/>
          <w:szCs w:val="20"/>
          <w:lang w:eastAsia="en-US"/>
        </w:rPr>
        <w:t xml:space="preserve"> and general manager of Transmission Planning and Operations.  </w:t>
      </w:r>
    </w:p>
    <w:p w14:paraId="45170314" w14:textId="77777777" w:rsidR="007E53A1" w:rsidRDefault="007E53A1" w:rsidP="007E53A1">
      <w:pPr>
        <w:numPr>
          <w:ilvl w:val="2"/>
          <w:numId w:val="0"/>
        </w:numPr>
        <w:tabs>
          <w:tab w:val="num" w:pos="2160"/>
        </w:tabs>
        <w:spacing w:line="360" w:lineRule="auto"/>
        <w:ind w:left="720" w:hanging="720"/>
        <w:jc w:val="both"/>
        <w:outlineLvl w:val="2"/>
        <w:rPr>
          <w:rFonts w:eastAsia="Times New Roman"/>
          <w:szCs w:val="20"/>
          <w:lang w:eastAsia="en-US"/>
        </w:rPr>
      </w:pPr>
    </w:p>
    <w:p w14:paraId="1EDDE731" w14:textId="42A2F5E1" w:rsidR="007E53A1" w:rsidRPr="00F21D00" w:rsidRDefault="007E53A1" w:rsidP="007E53A1">
      <w:pPr>
        <w:numPr>
          <w:ilvl w:val="2"/>
          <w:numId w:val="0"/>
        </w:numPr>
        <w:tabs>
          <w:tab w:val="num" w:pos="2160"/>
        </w:tabs>
        <w:spacing w:line="360" w:lineRule="auto"/>
        <w:ind w:left="720" w:hanging="720"/>
        <w:jc w:val="both"/>
        <w:outlineLvl w:val="2"/>
        <w:rPr>
          <w:rFonts w:eastAsia="MS Mincho"/>
          <w:szCs w:val="20"/>
          <w:lang w:eastAsia="en-US"/>
        </w:rPr>
      </w:pPr>
      <w:r>
        <w:rPr>
          <w:rFonts w:eastAsia="Times New Roman"/>
          <w:szCs w:val="20"/>
          <w:lang w:eastAsia="en-US"/>
        </w:rPr>
        <w:tab/>
      </w:r>
      <w:r w:rsidRPr="007A757D">
        <w:rPr>
          <w:rFonts w:eastAsia="Times New Roman"/>
          <w:szCs w:val="20"/>
          <w:lang w:eastAsia="en-US"/>
        </w:rPr>
        <w:t xml:space="preserve">I am currently the Power Delivery Operations </w:t>
      </w:r>
      <w:r w:rsidR="00F1640B">
        <w:rPr>
          <w:rFonts w:eastAsia="Times New Roman"/>
          <w:szCs w:val="20"/>
          <w:lang w:eastAsia="en-US"/>
        </w:rPr>
        <w:t>G</w:t>
      </w:r>
      <w:r w:rsidR="00F1640B" w:rsidRPr="007A757D">
        <w:rPr>
          <w:rFonts w:eastAsia="Times New Roman"/>
          <w:szCs w:val="20"/>
          <w:lang w:eastAsia="en-US"/>
        </w:rPr>
        <w:t xml:space="preserve">eneral </w:t>
      </w:r>
      <w:r w:rsidR="00F1640B">
        <w:rPr>
          <w:rFonts w:eastAsia="Times New Roman"/>
          <w:szCs w:val="20"/>
          <w:lang w:eastAsia="en-US"/>
        </w:rPr>
        <w:t>M</w:t>
      </w:r>
      <w:r w:rsidRPr="007A757D">
        <w:rPr>
          <w:rFonts w:eastAsia="Times New Roman"/>
          <w:szCs w:val="20"/>
          <w:lang w:eastAsia="en-US"/>
        </w:rPr>
        <w:t>anager for Georgia Power.</w:t>
      </w:r>
      <w:r>
        <w:rPr>
          <w:rFonts w:eastAsia="MS Mincho"/>
          <w:szCs w:val="20"/>
          <w:lang w:eastAsia="en-US"/>
        </w:rPr>
        <w:t xml:space="preserve">  </w:t>
      </w:r>
      <w:r w:rsidRPr="007A757D">
        <w:rPr>
          <w:rFonts w:eastAsia="Times New Roman"/>
          <w:szCs w:val="20"/>
          <w:lang w:eastAsia="en-US"/>
        </w:rPr>
        <w:t>I lead a team of 275 employees that consists of Georgia Power’s two distribution control centers, the Georgia Transmission Control Center, operations support, and</w:t>
      </w:r>
      <w:r>
        <w:rPr>
          <w:rFonts w:eastAsia="Times New Roman"/>
          <w:szCs w:val="20"/>
          <w:lang w:eastAsia="en-US"/>
        </w:rPr>
        <w:t xml:space="preserve"> North American Electric </w:t>
      </w:r>
      <w:r>
        <w:rPr>
          <w:rFonts w:eastAsia="Times New Roman"/>
          <w:szCs w:val="20"/>
          <w:lang w:eastAsia="en-US"/>
        </w:rPr>
        <w:lastRenderedPageBreak/>
        <w:t xml:space="preserve">Reliability Corporation </w:t>
      </w:r>
      <w:r w:rsidRPr="007A757D">
        <w:rPr>
          <w:rFonts w:eastAsia="Times New Roman"/>
          <w:szCs w:val="20"/>
          <w:lang w:eastAsia="en-US"/>
        </w:rPr>
        <w:t>compliance</w:t>
      </w:r>
      <w:r w:rsidR="00537DB9" w:rsidRPr="007A757D">
        <w:rPr>
          <w:rFonts w:eastAsia="Times New Roman"/>
          <w:szCs w:val="20"/>
          <w:lang w:eastAsia="en-US"/>
        </w:rPr>
        <w:t xml:space="preserve">.  </w:t>
      </w:r>
      <w:r w:rsidRPr="007A757D">
        <w:rPr>
          <w:rFonts w:eastAsia="Times New Roman"/>
          <w:szCs w:val="20"/>
          <w:lang w:eastAsia="en-US"/>
        </w:rPr>
        <w:t xml:space="preserve">This team is responsible for operating 75,000 miles of distribution lines, 17,000 miles of transmission lines, and over 2,000 substations statewide. </w:t>
      </w:r>
      <w:r w:rsidRPr="007A757D">
        <w:rPr>
          <w:rFonts w:eastAsia="MS Mincho"/>
          <w:bCs/>
          <w:lang w:eastAsia="en-US"/>
        </w:rPr>
        <w:tab/>
      </w:r>
    </w:p>
    <w:p w14:paraId="41FAFCDF" w14:textId="77777777" w:rsidR="007E53A1" w:rsidRPr="007A757D" w:rsidRDefault="007E53A1" w:rsidP="007E53A1">
      <w:pPr>
        <w:widowControl w:val="0"/>
        <w:numPr>
          <w:ilvl w:val="2"/>
          <w:numId w:val="0"/>
        </w:numPr>
        <w:spacing w:line="360" w:lineRule="auto"/>
        <w:ind w:left="720"/>
        <w:jc w:val="both"/>
        <w:outlineLvl w:val="2"/>
        <w:rPr>
          <w:rFonts w:eastAsia="Times New Roman"/>
          <w:szCs w:val="20"/>
          <w:lang w:eastAsia="en-US"/>
        </w:rPr>
      </w:pPr>
      <w:r w:rsidRPr="007A757D">
        <w:rPr>
          <w:rFonts w:eastAsia="MS Mincho"/>
          <w:bCs/>
          <w:lang w:eastAsia="en-US"/>
        </w:rPr>
        <w:tab/>
      </w:r>
      <w:r w:rsidRPr="007A757D">
        <w:rPr>
          <w:rFonts w:eastAsia="MS Mincho"/>
          <w:bCs/>
          <w:lang w:eastAsia="en-US"/>
        </w:rPr>
        <w:tab/>
      </w:r>
      <w:r w:rsidRPr="007A757D">
        <w:rPr>
          <w:rFonts w:eastAsia="MS Mincho"/>
          <w:bCs/>
          <w:lang w:eastAsia="en-US"/>
        </w:rPr>
        <w:tab/>
      </w:r>
      <w:r w:rsidRPr="007A757D">
        <w:rPr>
          <w:rFonts w:eastAsia="MS Mincho"/>
          <w:bCs/>
          <w:lang w:eastAsia="en-US"/>
        </w:rPr>
        <w:tab/>
      </w:r>
      <w:r w:rsidRPr="007A757D">
        <w:rPr>
          <w:rFonts w:eastAsia="MS Mincho"/>
          <w:bCs/>
          <w:lang w:eastAsia="en-US"/>
        </w:rPr>
        <w:tab/>
      </w:r>
      <w:r w:rsidRPr="007A757D">
        <w:rPr>
          <w:rFonts w:eastAsia="MS Mincho"/>
          <w:bCs/>
          <w:lang w:eastAsia="en-US"/>
        </w:rPr>
        <w:tab/>
      </w:r>
      <w:r w:rsidRPr="007A757D">
        <w:rPr>
          <w:rFonts w:eastAsia="MS Mincho"/>
          <w:bCs/>
          <w:lang w:eastAsia="en-US"/>
        </w:rPr>
        <w:tab/>
      </w:r>
    </w:p>
    <w:p w14:paraId="54C3C815" w14:textId="77777777" w:rsidR="007E53A1" w:rsidRPr="007A757D" w:rsidRDefault="007E53A1" w:rsidP="007E53A1">
      <w:pPr>
        <w:keepNext/>
        <w:numPr>
          <w:ilvl w:val="1"/>
          <w:numId w:val="0"/>
        </w:numPr>
        <w:tabs>
          <w:tab w:val="num" w:pos="720"/>
        </w:tabs>
        <w:spacing w:line="360" w:lineRule="auto"/>
        <w:ind w:left="720" w:hanging="720"/>
        <w:contextualSpacing/>
        <w:jc w:val="both"/>
        <w:outlineLvl w:val="1"/>
        <w:rPr>
          <w:rFonts w:eastAsia="MS Mincho"/>
          <w:b/>
          <w:szCs w:val="20"/>
          <w:lang w:eastAsia="en-US"/>
        </w:rPr>
      </w:pPr>
      <w:r>
        <w:rPr>
          <w:rFonts w:eastAsia="Times New Roman"/>
          <w:b/>
          <w:szCs w:val="20"/>
          <w:lang w:eastAsia="en-US"/>
        </w:rPr>
        <w:t>Q.</w:t>
      </w:r>
      <w:r>
        <w:rPr>
          <w:rFonts w:eastAsia="Times New Roman"/>
          <w:b/>
          <w:szCs w:val="20"/>
          <w:lang w:eastAsia="en-US"/>
        </w:rPr>
        <w:tab/>
      </w:r>
      <w:r w:rsidRPr="007A757D">
        <w:rPr>
          <w:rFonts w:eastAsia="Times New Roman"/>
          <w:b/>
          <w:szCs w:val="20"/>
          <w:lang w:eastAsia="en-US"/>
        </w:rPr>
        <w:t>HAVE YOU PREVIOUSLY TESTIFIED BEFORE THE COMMISSION?</w:t>
      </w:r>
    </w:p>
    <w:p w14:paraId="75DFBBFF" w14:textId="77777777" w:rsidR="007E53A1" w:rsidRPr="007A757D" w:rsidRDefault="007E53A1" w:rsidP="007E53A1">
      <w:pPr>
        <w:keepNext/>
        <w:numPr>
          <w:ilvl w:val="2"/>
          <w:numId w:val="0"/>
        </w:numPr>
        <w:tabs>
          <w:tab w:val="num" w:pos="2160"/>
        </w:tabs>
        <w:spacing w:line="360" w:lineRule="auto"/>
        <w:ind w:left="720" w:hanging="720"/>
        <w:contextualSpacing/>
        <w:jc w:val="both"/>
        <w:outlineLvl w:val="2"/>
        <w:rPr>
          <w:rFonts w:eastAsia="MS Mincho"/>
          <w:szCs w:val="20"/>
          <w:lang w:eastAsia="en-US"/>
        </w:rPr>
      </w:pPr>
      <w:r>
        <w:rPr>
          <w:rFonts w:eastAsia="Times New Roman"/>
          <w:szCs w:val="20"/>
          <w:lang w:eastAsia="en-US"/>
        </w:rPr>
        <w:t>A.</w:t>
      </w:r>
      <w:r>
        <w:rPr>
          <w:rFonts w:eastAsia="Times New Roman"/>
          <w:szCs w:val="20"/>
          <w:lang w:eastAsia="en-US"/>
        </w:rPr>
        <w:tab/>
      </w:r>
      <w:r w:rsidRPr="007A757D">
        <w:rPr>
          <w:rFonts w:eastAsia="Times New Roman"/>
          <w:szCs w:val="20"/>
          <w:lang w:eastAsia="en-US"/>
        </w:rPr>
        <w:t xml:space="preserve">No, I have not </w:t>
      </w:r>
      <w:r w:rsidR="00807E51">
        <w:rPr>
          <w:rFonts w:eastAsia="Times New Roman"/>
          <w:szCs w:val="20"/>
          <w:lang w:eastAsia="en-US"/>
        </w:rPr>
        <w:t xml:space="preserve">previously </w:t>
      </w:r>
      <w:r w:rsidRPr="007A757D">
        <w:rPr>
          <w:rFonts w:eastAsia="Times New Roman"/>
          <w:szCs w:val="20"/>
          <w:lang w:eastAsia="en-US"/>
        </w:rPr>
        <w:t xml:space="preserve">testified before the Commission. </w:t>
      </w:r>
    </w:p>
    <w:p w14:paraId="233C14D5" w14:textId="77777777" w:rsidR="007E53A1" w:rsidRPr="005F19CB" w:rsidRDefault="007E53A1" w:rsidP="007E53A1">
      <w:pPr>
        <w:pStyle w:val="NormalWeb"/>
        <w:spacing w:before="0" w:beforeAutospacing="0" w:after="0" w:afterAutospacing="0" w:line="360" w:lineRule="auto"/>
        <w:jc w:val="both"/>
      </w:pPr>
    </w:p>
    <w:p w14:paraId="52F7F822" w14:textId="77777777" w:rsidR="007E53A1" w:rsidRPr="005F19CB" w:rsidRDefault="007E53A1" w:rsidP="007E53A1">
      <w:pPr>
        <w:pStyle w:val="NormalWeb"/>
        <w:spacing w:before="0" w:beforeAutospacing="0" w:after="0" w:afterAutospacing="0" w:line="360" w:lineRule="auto"/>
        <w:ind w:left="720" w:hanging="720"/>
        <w:jc w:val="both"/>
        <w:outlineLvl w:val="0"/>
        <w:rPr>
          <w:b/>
        </w:rPr>
      </w:pPr>
      <w:r w:rsidRPr="005F19CB">
        <w:rPr>
          <w:b/>
        </w:rPr>
        <w:t>Q.</w:t>
      </w:r>
      <w:r w:rsidRPr="005F19CB">
        <w:rPr>
          <w:b/>
        </w:rPr>
        <w:tab/>
        <w:t>WHAT IS THE PURPOSE OF YOUR TESTIMONY?</w:t>
      </w:r>
    </w:p>
    <w:p w14:paraId="0DF71881" w14:textId="64CC4D7E" w:rsidR="00F338F7" w:rsidRDefault="007E53A1" w:rsidP="007E53A1">
      <w:pPr>
        <w:tabs>
          <w:tab w:val="left" w:pos="2520"/>
        </w:tabs>
        <w:spacing w:line="360" w:lineRule="auto"/>
        <w:ind w:left="720" w:hanging="720"/>
        <w:jc w:val="both"/>
      </w:pPr>
      <w:r w:rsidRPr="005F19CB">
        <w:t>A.</w:t>
      </w:r>
      <w:r w:rsidRPr="005F19CB">
        <w:tab/>
        <w:t>The purpose of our testimony is to support the Company’s filing in this docket, including the calculation of the test period revenue requirement.  This</w:t>
      </w:r>
      <w:r>
        <w:t xml:space="preserve"> Commission’s</w:t>
      </w:r>
      <w:r w:rsidRPr="0085540B">
        <w:t xml:space="preserve"> May 9, 2016</w:t>
      </w:r>
      <w:r>
        <w:t xml:space="preserve"> </w:t>
      </w:r>
      <w:r w:rsidRPr="0085540B">
        <w:t>Order in Docket No. 39971</w:t>
      </w:r>
      <w:r w:rsidR="007F0197">
        <w:t>,</w:t>
      </w:r>
      <w:r>
        <w:t xml:space="preserve"> regarding </w:t>
      </w:r>
      <w:r w:rsidRPr="00E76036">
        <w:t xml:space="preserve">the </w:t>
      </w:r>
      <w:r w:rsidRPr="00873CAE">
        <w:t>AGL Resources</w:t>
      </w:r>
      <w:r>
        <w:t xml:space="preserve"> - </w:t>
      </w:r>
      <w:r w:rsidRPr="00873CAE">
        <w:t>Southern</w:t>
      </w:r>
      <w:r>
        <w:t xml:space="preserve"> </w:t>
      </w:r>
      <w:r w:rsidRPr="00873CAE">
        <w:t xml:space="preserve">Company </w:t>
      </w:r>
      <w:r>
        <w:t>Merger (“Merger Order”)</w:t>
      </w:r>
      <w:r w:rsidR="007F0197">
        <w:t>,</w:t>
      </w:r>
      <w:r>
        <w:t xml:space="preserve"> </w:t>
      </w:r>
      <w:r w:rsidRPr="00E76036">
        <w:t xml:space="preserve">required </w:t>
      </w:r>
      <w:r>
        <w:t xml:space="preserve">that the Company </w:t>
      </w:r>
      <w:r w:rsidRPr="00E76036">
        <w:t xml:space="preserve">file a general rate case </w:t>
      </w:r>
      <w:r>
        <w:t>by</w:t>
      </w:r>
      <w:r w:rsidRPr="00E76036">
        <w:t xml:space="preserve"> July 1, 201</w:t>
      </w:r>
      <w:r>
        <w:t xml:space="preserve">9, </w:t>
      </w:r>
      <w:r w:rsidRPr="005F19CB">
        <w:t xml:space="preserve">so that the Commission may consider whether to continue, modify, or discontinue the rate plan </w:t>
      </w:r>
      <w:r>
        <w:t xml:space="preserve">established in </w:t>
      </w:r>
      <w:r w:rsidR="00465564">
        <w:t xml:space="preserve">Georgia Power Company’s 2013 Rate Case, </w:t>
      </w:r>
      <w:r>
        <w:t>Docket No. 36989</w:t>
      </w:r>
      <w:r w:rsidR="00F861F9">
        <w:t xml:space="preserve"> (“2013 Rate Case”)</w:t>
      </w:r>
      <w:r w:rsidRPr="005F19CB">
        <w:t>.</w:t>
      </w:r>
      <w:r w:rsidR="004C5436">
        <w:t xml:space="preserve">  </w:t>
      </w:r>
      <w:r w:rsidRPr="005F19CB">
        <w:t xml:space="preserve">In our testimony, we demonstrate that the Company’s revenues under current rates are </w:t>
      </w:r>
      <w:r>
        <w:t>inadequate</w:t>
      </w:r>
      <w:r w:rsidRPr="005F19CB">
        <w:t xml:space="preserve"> to cover the Company’s cost of service</w:t>
      </w:r>
      <w:r w:rsidR="00802198">
        <w:t>,</w:t>
      </w:r>
      <w:r w:rsidRPr="005F19CB">
        <w:t xml:space="preserve"> and we propose a</w:t>
      </w:r>
      <w:r w:rsidR="00991256">
        <w:t>n</w:t>
      </w:r>
      <w:r w:rsidRPr="005F19CB">
        <w:t xml:space="preserve"> Alternate Rate Plan</w:t>
      </w:r>
      <w:r>
        <w:t xml:space="preserve"> (“ARP”)</w:t>
      </w:r>
      <w:r w:rsidR="00991256">
        <w:t xml:space="preserve"> similar to the ARPs </w:t>
      </w:r>
      <w:r w:rsidR="0037510D">
        <w:t>Georgia Power has</w:t>
      </w:r>
      <w:r w:rsidR="00991256">
        <w:t xml:space="preserve"> had in place since 1995</w:t>
      </w:r>
      <w:r>
        <w:t xml:space="preserve">.  </w:t>
      </w:r>
      <w:r w:rsidRPr="00EE387E">
        <w:t xml:space="preserve">Our testimony will also discuss </w:t>
      </w:r>
      <w:r w:rsidR="001B23AF">
        <w:t>certain transmission</w:t>
      </w:r>
      <w:r w:rsidR="00697746">
        <w:t>-</w:t>
      </w:r>
      <w:r w:rsidR="001B23AF">
        <w:t>related upgrades necessary should additional coal units be retired as well as the Company</w:t>
      </w:r>
      <w:r w:rsidR="00562CF0">
        <w:t>’s</w:t>
      </w:r>
      <w:r w:rsidR="001B23AF">
        <w:t xml:space="preserve"> grid </w:t>
      </w:r>
      <w:r w:rsidRPr="00EE387E">
        <w:t>investment plan for transmission and distribution (“T&amp;D”) projects over the next</w:t>
      </w:r>
      <w:r>
        <w:t xml:space="preserve"> several years</w:t>
      </w:r>
      <w:r w:rsidR="00537DB9" w:rsidRPr="00EE387E">
        <w:t xml:space="preserve">.  </w:t>
      </w:r>
      <w:r w:rsidRPr="00EE387E">
        <w:t>These investments are reasonable and necessary for Georgia Power to maintain a reliable and safe T&amp;D system</w:t>
      </w:r>
      <w:r>
        <w:t>.</w:t>
      </w:r>
      <w:r w:rsidR="007E209E">
        <w:tab/>
      </w:r>
      <w:r w:rsidR="007E209E">
        <w:tab/>
      </w:r>
      <w:r w:rsidR="007E209E">
        <w:tab/>
      </w:r>
      <w:r w:rsidR="007E209E">
        <w:tab/>
      </w:r>
    </w:p>
    <w:p w14:paraId="5B73D2C5" w14:textId="77777777" w:rsidR="007E209E" w:rsidRDefault="007E209E" w:rsidP="007E53A1">
      <w:pPr>
        <w:tabs>
          <w:tab w:val="left" w:pos="2520"/>
        </w:tabs>
        <w:spacing w:line="360" w:lineRule="auto"/>
        <w:ind w:left="720" w:hanging="720"/>
        <w:jc w:val="both"/>
      </w:pPr>
      <w:r>
        <w:tab/>
      </w:r>
      <w:r>
        <w:tab/>
      </w:r>
      <w:r w:rsidR="007E53A1">
        <w:tab/>
      </w:r>
    </w:p>
    <w:p w14:paraId="0569BB78" w14:textId="77777777" w:rsidR="007E209E" w:rsidRPr="00745BC9" w:rsidRDefault="007E209E" w:rsidP="007E209E">
      <w:pPr>
        <w:tabs>
          <w:tab w:val="left" w:pos="2520"/>
        </w:tabs>
        <w:spacing w:line="360" w:lineRule="auto"/>
        <w:ind w:left="720" w:hanging="720"/>
        <w:jc w:val="both"/>
        <w:rPr>
          <w:b/>
        </w:rPr>
      </w:pPr>
      <w:r w:rsidRPr="00745BC9">
        <w:rPr>
          <w:b/>
        </w:rPr>
        <w:t>Q.</w:t>
      </w:r>
      <w:r w:rsidRPr="00745BC9">
        <w:rPr>
          <w:b/>
        </w:rPr>
        <w:tab/>
        <w:t>HOW IS YOUR TESTIMONY ORGANIZED</w:t>
      </w:r>
      <w:r w:rsidR="00027C88">
        <w:rPr>
          <w:b/>
        </w:rPr>
        <w:t>?</w:t>
      </w:r>
    </w:p>
    <w:p w14:paraId="44498D49" w14:textId="4CE65963" w:rsidR="0081045F" w:rsidRDefault="007E209E" w:rsidP="007E209E">
      <w:pPr>
        <w:tabs>
          <w:tab w:val="left" w:pos="2520"/>
        </w:tabs>
        <w:spacing w:line="360" w:lineRule="auto"/>
        <w:ind w:left="720" w:hanging="720"/>
        <w:jc w:val="both"/>
      </w:pPr>
      <w:r w:rsidRPr="00875E6F">
        <w:t>A.</w:t>
      </w:r>
      <w:r w:rsidRPr="00875E6F">
        <w:rPr>
          <w:b/>
        </w:rPr>
        <w:tab/>
      </w:r>
      <w:r w:rsidR="0081045F" w:rsidRPr="00875E6F">
        <w:t>The remainder of our testimony is organized as follows:</w:t>
      </w:r>
      <w:r w:rsidR="0047687C" w:rsidRPr="00875E6F">
        <w:rPr>
          <w:b/>
          <w:color w:val="FF0000"/>
        </w:rPr>
        <w:t xml:space="preserve"> </w:t>
      </w:r>
    </w:p>
    <w:p w14:paraId="54BE072E" w14:textId="76450671" w:rsidR="00991256" w:rsidRPr="009E56E7" w:rsidRDefault="00991256" w:rsidP="00F338F7">
      <w:pPr>
        <w:pStyle w:val="OutlineL1"/>
        <w:numPr>
          <w:ilvl w:val="0"/>
          <w:numId w:val="23"/>
        </w:numPr>
        <w:spacing w:after="0" w:line="360" w:lineRule="auto"/>
        <w:contextualSpacing/>
        <w:jc w:val="left"/>
        <w:rPr>
          <w:b w:val="0"/>
          <w:u w:val="none"/>
        </w:rPr>
      </w:pPr>
      <w:r w:rsidRPr="009E56E7">
        <w:rPr>
          <w:b w:val="0"/>
          <w:u w:val="none"/>
        </w:rPr>
        <w:t xml:space="preserve">Section II </w:t>
      </w:r>
      <w:r w:rsidRPr="004553EB">
        <w:rPr>
          <w:b w:val="0"/>
          <w:u w:val="none"/>
        </w:rPr>
        <w:t>(</w:t>
      </w:r>
      <w:r w:rsidRPr="00205E3F">
        <w:rPr>
          <w:b w:val="0"/>
          <w:u w:val="none"/>
        </w:rPr>
        <w:t xml:space="preserve">pages </w:t>
      </w:r>
      <w:r w:rsidR="00D82138">
        <w:rPr>
          <w:b w:val="0"/>
          <w:u w:val="none"/>
        </w:rPr>
        <w:t>8</w:t>
      </w:r>
      <w:r w:rsidR="00D94399">
        <w:rPr>
          <w:b w:val="0"/>
          <w:u w:val="none"/>
        </w:rPr>
        <w:t xml:space="preserve"> </w:t>
      </w:r>
      <w:r w:rsidRPr="00205E3F">
        <w:rPr>
          <w:b w:val="0"/>
          <w:u w:val="none"/>
        </w:rPr>
        <w:t xml:space="preserve">to </w:t>
      </w:r>
      <w:r w:rsidR="00D94399">
        <w:rPr>
          <w:b w:val="0"/>
          <w:u w:val="none"/>
        </w:rPr>
        <w:t>1</w:t>
      </w:r>
      <w:r w:rsidR="00E15DD1">
        <w:rPr>
          <w:b w:val="0"/>
          <w:u w:val="none"/>
        </w:rPr>
        <w:t>7</w:t>
      </w:r>
      <w:r w:rsidRPr="00205E3F">
        <w:rPr>
          <w:b w:val="0"/>
          <w:u w:val="none"/>
        </w:rPr>
        <w:t xml:space="preserve">) </w:t>
      </w:r>
      <w:r w:rsidRPr="009E56E7">
        <w:rPr>
          <w:b w:val="0"/>
          <w:u w:val="none"/>
        </w:rPr>
        <w:t>provides a</w:t>
      </w:r>
      <w:r w:rsidR="00623C40">
        <w:rPr>
          <w:b w:val="0"/>
          <w:u w:val="none"/>
        </w:rPr>
        <w:t xml:space="preserve">n overview </w:t>
      </w:r>
      <w:r w:rsidRPr="009E56E7">
        <w:rPr>
          <w:b w:val="0"/>
          <w:u w:val="none"/>
        </w:rPr>
        <w:t xml:space="preserve">of the Company’s </w:t>
      </w:r>
      <w:r w:rsidR="00D94399">
        <w:rPr>
          <w:b w:val="0"/>
          <w:u w:val="none"/>
        </w:rPr>
        <w:t>r</w:t>
      </w:r>
      <w:r w:rsidRPr="009E56E7">
        <w:rPr>
          <w:b w:val="0"/>
          <w:u w:val="none"/>
        </w:rPr>
        <w:t>equest and the principal factors affecting that requ</w:t>
      </w:r>
      <w:r w:rsidRPr="004553EB">
        <w:rPr>
          <w:b w:val="0"/>
          <w:u w:val="none"/>
        </w:rPr>
        <w:t>e</w:t>
      </w:r>
      <w:r w:rsidRPr="00205E3F">
        <w:rPr>
          <w:b w:val="0"/>
          <w:u w:val="none"/>
        </w:rPr>
        <w:t>st</w:t>
      </w:r>
      <w:r w:rsidR="00D82138">
        <w:rPr>
          <w:b w:val="0"/>
          <w:u w:val="none"/>
        </w:rPr>
        <w:t>.</w:t>
      </w:r>
    </w:p>
    <w:p w14:paraId="19264B80" w14:textId="5CDA8DD7" w:rsidR="00991256" w:rsidRDefault="00991256" w:rsidP="00F338F7">
      <w:pPr>
        <w:pStyle w:val="ListParagraph"/>
        <w:numPr>
          <w:ilvl w:val="0"/>
          <w:numId w:val="23"/>
        </w:numPr>
        <w:tabs>
          <w:tab w:val="left" w:pos="2520"/>
        </w:tabs>
        <w:spacing w:line="360" w:lineRule="auto"/>
        <w:jc w:val="both"/>
      </w:pPr>
      <w:r w:rsidRPr="004553EB">
        <w:t>S</w:t>
      </w:r>
      <w:r w:rsidRPr="00205E3F">
        <w:t xml:space="preserve">ection III </w:t>
      </w:r>
      <w:r w:rsidRPr="009E56E7">
        <w:t xml:space="preserve">(pages </w:t>
      </w:r>
      <w:r w:rsidR="00D94399">
        <w:t>1</w:t>
      </w:r>
      <w:r w:rsidR="00E15DD1">
        <w:t>8</w:t>
      </w:r>
      <w:r w:rsidRPr="009E56E7">
        <w:t xml:space="preserve"> to</w:t>
      </w:r>
      <w:r w:rsidR="00D94399">
        <w:t xml:space="preserve"> 2</w:t>
      </w:r>
      <w:r w:rsidR="00E15DD1">
        <w:t>4</w:t>
      </w:r>
      <w:r w:rsidRPr="009E56E7">
        <w:t xml:space="preserve">) </w:t>
      </w:r>
      <w:r w:rsidRPr="004553EB">
        <w:t>describes</w:t>
      </w:r>
      <w:r w:rsidRPr="00205E3F">
        <w:t xml:space="preserve"> </w:t>
      </w:r>
      <w:r w:rsidR="0037510D">
        <w:t>the</w:t>
      </w:r>
      <w:r w:rsidRPr="00205E3F">
        <w:t xml:space="preserve"> A</w:t>
      </w:r>
      <w:r w:rsidR="00233F43">
        <w:t>RP.</w:t>
      </w:r>
    </w:p>
    <w:p w14:paraId="6D2B3488" w14:textId="6CF0A76B" w:rsidR="00F338F7" w:rsidRDefault="00F338F7" w:rsidP="00F338F7">
      <w:pPr>
        <w:pStyle w:val="ListParagraph"/>
        <w:numPr>
          <w:ilvl w:val="0"/>
          <w:numId w:val="23"/>
        </w:numPr>
        <w:tabs>
          <w:tab w:val="left" w:pos="2520"/>
        </w:tabs>
        <w:spacing w:line="360" w:lineRule="auto"/>
        <w:jc w:val="both"/>
      </w:pPr>
      <w:r w:rsidRPr="00205E3F">
        <w:lastRenderedPageBreak/>
        <w:t xml:space="preserve">Section </w:t>
      </w:r>
      <w:r w:rsidR="00323587">
        <w:t>I</w:t>
      </w:r>
      <w:r w:rsidRPr="00205E3F">
        <w:t xml:space="preserve">V </w:t>
      </w:r>
      <w:r w:rsidRPr="009E56E7">
        <w:t xml:space="preserve">(pages </w:t>
      </w:r>
      <w:r w:rsidR="00D94399">
        <w:t>2</w:t>
      </w:r>
      <w:r w:rsidR="00D82138">
        <w:t>4</w:t>
      </w:r>
      <w:r w:rsidRPr="009E56E7">
        <w:t xml:space="preserve"> to</w:t>
      </w:r>
      <w:r w:rsidR="00D94399">
        <w:t xml:space="preserve"> 2</w:t>
      </w:r>
      <w:r w:rsidR="00E15DD1">
        <w:t>6</w:t>
      </w:r>
      <w:r w:rsidRPr="009E56E7">
        <w:t xml:space="preserve">) </w:t>
      </w:r>
      <w:r w:rsidRPr="004553EB">
        <w:t>di</w:t>
      </w:r>
      <w:r w:rsidRPr="00205E3F">
        <w:t xml:space="preserve">scusses the </w:t>
      </w:r>
      <w:r w:rsidR="00562CF0">
        <w:t xml:space="preserve">proposed </w:t>
      </w:r>
      <w:r w:rsidR="00CC1CD9">
        <w:t xml:space="preserve">method for </w:t>
      </w:r>
      <w:r w:rsidRPr="00205E3F">
        <w:t xml:space="preserve">recovery of </w:t>
      </w:r>
      <w:r w:rsidR="00046498">
        <w:t>Coal Combustion R</w:t>
      </w:r>
      <w:r w:rsidR="00CC1CD9">
        <w:t xml:space="preserve">esiduals </w:t>
      </w:r>
      <w:r w:rsidR="00046498">
        <w:t>(“</w:t>
      </w:r>
      <w:r w:rsidRPr="00205E3F">
        <w:t>CCR</w:t>
      </w:r>
      <w:r w:rsidR="00046498">
        <w:t>”) Asset Retirement Obligation</w:t>
      </w:r>
      <w:r w:rsidRPr="00205E3F">
        <w:t xml:space="preserve"> </w:t>
      </w:r>
      <w:r w:rsidR="00046498">
        <w:t>(“</w:t>
      </w:r>
      <w:r w:rsidRPr="00205E3F">
        <w:t>ARO</w:t>
      </w:r>
      <w:r w:rsidR="00046498">
        <w:t>”)</w:t>
      </w:r>
      <w:r w:rsidRPr="00205E3F">
        <w:t xml:space="preserve"> compliance costs</w:t>
      </w:r>
      <w:r w:rsidR="007A275F">
        <w:t>.</w:t>
      </w:r>
    </w:p>
    <w:p w14:paraId="2D8B26BD" w14:textId="25D7802F" w:rsidR="00F338F7" w:rsidRDefault="00F338F7" w:rsidP="00323587">
      <w:pPr>
        <w:pStyle w:val="ListParagraph"/>
        <w:numPr>
          <w:ilvl w:val="0"/>
          <w:numId w:val="23"/>
        </w:numPr>
        <w:tabs>
          <w:tab w:val="left" w:pos="2520"/>
        </w:tabs>
        <w:spacing w:line="360" w:lineRule="auto"/>
        <w:jc w:val="both"/>
      </w:pPr>
      <w:r w:rsidRPr="00205E3F">
        <w:t xml:space="preserve">Section V </w:t>
      </w:r>
      <w:r w:rsidRPr="009E56E7">
        <w:t>(</w:t>
      </w:r>
      <w:r w:rsidR="00D94399">
        <w:t>page 2</w:t>
      </w:r>
      <w:r w:rsidR="00E15DD1">
        <w:t>7</w:t>
      </w:r>
      <w:r w:rsidRPr="009E56E7">
        <w:t xml:space="preserve">) </w:t>
      </w:r>
      <w:r w:rsidRPr="004553EB">
        <w:t>di</w:t>
      </w:r>
      <w:r w:rsidRPr="00205E3F">
        <w:t xml:space="preserve">scusses </w:t>
      </w:r>
      <w:r w:rsidR="0037510D">
        <w:t>the</w:t>
      </w:r>
      <w:r w:rsidR="0037510D" w:rsidRPr="00205E3F">
        <w:t xml:space="preserve"> </w:t>
      </w:r>
      <w:r w:rsidRPr="00205E3F">
        <w:t xml:space="preserve">Environmental Compliance Cost Recovery (“ECCR”) </w:t>
      </w:r>
      <w:r w:rsidR="00566889">
        <w:t>Tariff</w:t>
      </w:r>
      <w:r w:rsidR="007A275F">
        <w:t>.</w:t>
      </w:r>
    </w:p>
    <w:p w14:paraId="4E59F8B3" w14:textId="0BE9A1D2" w:rsidR="00F338F7" w:rsidRPr="00205E3F" w:rsidRDefault="00F338F7" w:rsidP="00F338F7">
      <w:pPr>
        <w:pStyle w:val="ListParagraph"/>
        <w:numPr>
          <w:ilvl w:val="0"/>
          <w:numId w:val="23"/>
        </w:numPr>
        <w:tabs>
          <w:tab w:val="left" w:pos="2520"/>
        </w:tabs>
        <w:spacing w:line="360" w:lineRule="auto"/>
        <w:jc w:val="both"/>
      </w:pPr>
      <w:r w:rsidRPr="00205E3F">
        <w:t xml:space="preserve">Section VI </w:t>
      </w:r>
      <w:r w:rsidRPr="009E56E7">
        <w:t>(page</w:t>
      </w:r>
      <w:r w:rsidR="00DB2311">
        <w:t>s</w:t>
      </w:r>
      <w:r w:rsidR="000C54E8">
        <w:t xml:space="preserve"> 2</w:t>
      </w:r>
      <w:r w:rsidR="00E15DD1">
        <w:t>7</w:t>
      </w:r>
      <w:r w:rsidR="00DB2311">
        <w:t xml:space="preserve"> to 28</w:t>
      </w:r>
      <w:r w:rsidRPr="009E56E7">
        <w:t xml:space="preserve">) </w:t>
      </w:r>
      <w:r w:rsidRPr="004553EB">
        <w:t xml:space="preserve">discusses </w:t>
      </w:r>
      <w:r w:rsidR="0037510D">
        <w:t>the</w:t>
      </w:r>
      <w:r w:rsidR="0037510D" w:rsidRPr="00205E3F">
        <w:t xml:space="preserve"> </w:t>
      </w:r>
      <w:r w:rsidRPr="00205E3F">
        <w:t>Demand Side Managemen</w:t>
      </w:r>
      <w:r w:rsidR="00092535">
        <w:t>t (“DSM”)</w:t>
      </w:r>
      <w:r w:rsidRPr="00205E3F">
        <w:t xml:space="preserve"> </w:t>
      </w:r>
      <w:r w:rsidR="00566889">
        <w:t>Tariff</w:t>
      </w:r>
      <w:r w:rsidR="00290341">
        <w:t>s</w:t>
      </w:r>
      <w:r w:rsidR="007A275F">
        <w:t>.</w:t>
      </w:r>
      <w:r w:rsidRPr="00205E3F">
        <w:t xml:space="preserve"> </w:t>
      </w:r>
    </w:p>
    <w:p w14:paraId="6CA6D546" w14:textId="2C7439FC" w:rsidR="00F338F7" w:rsidRPr="00205E3F" w:rsidRDefault="00F338F7" w:rsidP="00F338F7">
      <w:pPr>
        <w:pStyle w:val="ListParagraph"/>
        <w:numPr>
          <w:ilvl w:val="0"/>
          <w:numId w:val="23"/>
        </w:numPr>
        <w:tabs>
          <w:tab w:val="left" w:pos="2520"/>
        </w:tabs>
        <w:spacing w:line="360" w:lineRule="auto"/>
        <w:jc w:val="both"/>
      </w:pPr>
      <w:r w:rsidRPr="00205E3F">
        <w:t xml:space="preserve">Section VII </w:t>
      </w:r>
      <w:r w:rsidRPr="009E56E7">
        <w:t xml:space="preserve">(pages </w:t>
      </w:r>
      <w:r w:rsidR="000C54E8">
        <w:t>2</w:t>
      </w:r>
      <w:r w:rsidR="00E15DD1">
        <w:t>8</w:t>
      </w:r>
      <w:r w:rsidRPr="009E56E7">
        <w:t xml:space="preserve"> to</w:t>
      </w:r>
      <w:r w:rsidR="000C54E8">
        <w:t xml:space="preserve"> 2</w:t>
      </w:r>
      <w:r w:rsidR="00E15DD1">
        <w:t>9</w:t>
      </w:r>
      <w:r w:rsidRPr="009E56E7">
        <w:t xml:space="preserve">) </w:t>
      </w:r>
      <w:r w:rsidRPr="004553EB">
        <w:t>di</w:t>
      </w:r>
      <w:r w:rsidRPr="00205E3F">
        <w:t xml:space="preserve">scusses </w:t>
      </w:r>
      <w:r w:rsidR="0037510D">
        <w:t>the</w:t>
      </w:r>
      <w:r w:rsidR="0037510D" w:rsidRPr="00205E3F">
        <w:t xml:space="preserve"> </w:t>
      </w:r>
      <w:r w:rsidRPr="00205E3F">
        <w:t>Municipal Franchise Fee</w:t>
      </w:r>
      <w:r w:rsidR="00092535">
        <w:t xml:space="preserve"> (“MFF”)</w:t>
      </w:r>
      <w:r w:rsidRPr="00205E3F">
        <w:t xml:space="preserve"> </w:t>
      </w:r>
      <w:r w:rsidR="00566889">
        <w:t>Tariff</w:t>
      </w:r>
      <w:r w:rsidR="007A275F">
        <w:t>.</w:t>
      </w:r>
    </w:p>
    <w:p w14:paraId="5750CDFF" w14:textId="2BFAB505" w:rsidR="00F338F7" w:rsidRPr="00205E3F" w:rsidRDefault="00F338F7" w:rsidP="00F338F7">
      <w:pPr>
        <w:pStyle w:val="ListParagraph"/>
        <w:numPr>
          <w:ilvl w:val="0"/>
          <w:numId w:val="23"/>
        </w:numPr>
        <w:tabs>
          <w:tab w:val="left" w:pos="2520"/>
        </w:tabs>
        <w:spacing w:line="360" w:lineRule="auto"/>
        <w:jc w:val="both"/>
      </w:pPr>
      <w:r w:rsidRPr="00205E3F">
        <w:t xml:space="preserve">Section </w:t>
      </w:r>
      <w:r w:rsidR="00323587">
        <w:t>VIII</w:t>
      </w:r>
      <w:r w:rsidRPr="00205E3F">
        <w:t xml:space="preserve"> </w:t>
      </w:r>
      <w:r w:rsidRPr="009E56E7">
        <w:t xml:space="preserve">(pages </w:t>
      </w:r>
      <w:r w:rsidR="00E15DD1">
        <w:t>30</w:t>
      </w:r>
      <w:r w:rsidRPr="009E56E7">
        <w:t xml:space="preserve"> to</w:t>
      </w:r>
      <w:r w:rsidR="000C54E8">
        <w:t xml:space="preserve"> 3</w:t>
      </w:r>
      <w:r w:rsidR="00E15DD1">
        <w:t>3</w:t>
      </w:r>
      <w:r w:rsidRPr="009E56E7">
        <w:t xml:space="preserve">) </w:t>
      </w:r>
      <w:r w:rsidRPr="004553EB">
        <w:t>pr</w:t>
      </w:r>
      <w:r w:rsidRPr="00205E3F">
        <w:t>ovides a detailed discussion of our forecasted revenue requirements for both the statutory test period and the three</w:t>
      </w:r>
      <w:r w:rsidR="00046498">
        <w:t>-</w:t>
      </w:r>
      <w:r w:rsidRPr="00205E3F">
        <w:t xml:space="preserve">year proposed </w:t>
      </w:r>
      <w:r w:rsidR="0037510D">
        <w:t>ARP</w:t>
      </w:r>
      <w:r w:rsidR="007A275F">
        <w:t>.</w:t>
      </w:r>
    </w:p>
    <w:p w14:paraId="51FB9B4F" w14:textId="2E4BE2B8" w:rsidR="00F338F7" w:rsidRPr="00205E3F" w:rsidRDefault="00F338F7" w:rsidP="00F338F7">
      <w:pPr>
        <w:pStyle w:val="ListParagraph"/>
        <w:numPr>
          <w:ilvl w:val="0"/>
          <w:numId w:val="23"/>
        </w:numPr>
        <w:tabs>
          <w:tab w:val="left" w:pos="2520"/>
        </w:tabs>
        <w:spacing w:line="360" w:lineRule="auto"/>
        <w:jc w:val="both"/>
      </w:pPr>
      <w:r w:rsidRPr="00205E3F">
        <w:t xml:space="preserve">Section </w:t>
      </w:r>
      <w:r w:rsidR="00323587">
        <w:t>I</w:t>
      </w:r>
      <w:r w:rsidRPr="00205E3F">
        <w:t xml:space="preserve">X </w:t>
      </w:r>
      <w:r w:rsidRPr="009E56E7">
        <w:t xml:space="preserve">(pages </w:t>
      </w:r>
      <w:r w:rsidR="000C54E8">
        <w:t>3</w:t>
      </w:r>
      <w:r w:rsidR="00E15DD1">
        <w:t>4</w:t>
      </w:r>
      <w:r w:rsidRPr="009E56E7">
        <w:t xml:space="preserve"> to</w:t>
      </w:r>
      <w:r w:rsidR="000C54E8">
        <w:t xml:space="preserve"> </w:t>
      </w:r>
      <w:r w:rsidR="00E15DD1">
        <w:t>50</w:t>
      </w:r>
      <w:r w:rsidRPr="009E56E7">
        <w:t xml:space="preserve">) </w:t>
      </w:r>
      <w:r w:rsidRPr="004553EB">
        <w:t>pr</w:t>
      </w:r>
      <w:r w:rsidRPr="00205E3F">
        <w:t>ovides a summary of projections for Test Period Ending July 31, 2020</w:t>
      </w:r>
      <w:r w:rsidR="00233F43">
        <w:t>.</w:t>
      </w:r>
    </w:p>
    <w:p w14:paraId="3C820037" w14:textId="4AB84AF5" w:rsidR="00F338F7" w:rsidRPr="00205E3F" w:rsidRDefault="00F338F7" w:rsidP="00F338F7">
      <w:pPr>
        <w:pStyle w:val="ListParagraph"/>
        <w:numPr>
          <w:ilvl w:val="0"/>
          <w:numId w:val="23"/>
        </w:numPr>
        <w:tabs>
          <w:tab w:val="left" w:pos="2520"/>
        </w:tabs>
        <w:spacing w:line="360" w:lineRule="auto"/>
        <w:jc w:val="both"/>
      </w:pPr>
      <w:r w:rsidRPr="00205E3F">
        <w:t xml:space="preserve">Section X </w:t>
      </w:r>
      <w:r w:rsidRPr="009E56E7">
        <w:t xml:space="preserve">(pages </w:t>
      </w:r>
      <w:r w:rsidR="00E15DD1">
        <w:t>50</w:t>
      </w:r>
      <w:r w:rsidRPr="009E56E7">
        <w:t xml:space="preserve"> to </w:t>
      </w:r>
      <w:r w:rsidR="00E15DD1">
        <w:t>62</w:t>
      </w:r>
      <w:r w:rsidRPr="009E56E7">
        <w:t xml:space="preserve">) </w:t>
      </w:r>
      <w:r w:rsidRPr="004553EB">
        <w:t>pr</w:t>
      </w:r>
      <w:r w:rsidRPr="00205E3F">
        <w:t xml:space="preserve">ovides a discussion of </w:t>
      </w:r>
      <w:r w:rsidR="004C05D3">
        <w:t>T&amp;D</w:t>
      </w:r>
      <w:r w:rsidRPr="00205E3F">
        <w:t xml:space="preserve"> investments</w:t>
      </w:r>
      <w:r w:rsidR="00233F43">
        <w:t>.</w:t>
      </w:r>
      <w:r w:rsidRPr="00205E3F">
        <w:t xml:space="preserve"> </w:t>
      </w:r>
    </w:p>
    <w:p w14:paraId="624F01A4" w14:textId="42AE107E" w:rsidR="00F338F7" w:rsidRPr="00205E3F" w:rsidRDefault="00F338F7" w:rsidP="00F338F7">
      <w:pPr>
        <w:pStyle w:val="ListParagraph"/>
        <w:numPr>
          <w:ilvl w:val="0"/>
          <w:numId w:val="23"/>
        </w:numPr>
        <w:tabs>
          <w:tab w:val="left" w:pos="2520"/>
        </w:tabs>
        <w:spacing w:line="360" w:lineRule="auto"/>
        <w:jc w:val="both"/>
      </w:pPr>
      <w:r w:rsidRPr="00205E3F">
        <w:t xml:space="preserve">Section XI </w:t>
      </w:r>
      <w:r w:rsidRPr="009E56E7">
        <w:t xml:space="preserve">(page </w:t>
      </w:r>
      <w:r w:rsidR="00E15DD1">
        <w:t>62</w:t>
      </w:r>
      <w:r w:rsidRPr="009E56E7">
        <w:t xml:space="preserve">) </w:t>
      </w:r>
      <w:r w:rsidRPr="004553EB">
        <w:t>pr</w:t>
      </w:r>
      <w:r w:rsidRPr="00205E3F">
        <w:t xml:space="preserve">ovides an explanation of the adjustments made related to the </w:t>
      </w:r>
      <w:r w:rsidR="00361281">
        <w:t xml:space="preserve">Company’s </w:t>
      </w:r>
      <w:r w:rsidRPr="00205E3F">
        <w:t>2019</w:t>
      </w:r>
      <w:r w:rsidR="00361281">
        <w:t xml:space="preserve"> Integrated Resource Plan</w:t>
      </w:r>
      <w:r w:rsidRPr="00205E3F">
        <w:t xml:space="preserve"> </w:t>
      </w:r>
      <w:r w:rsidR="00361281">
        <w:t>(“</w:t>
      </w:r>
      <w:r w:rsidR="0004283A">
        <w:t xml:space="preserve">2019 </w:t>
      </w:r>
      <w:r w:rsidRPr="00205E3F">
        <w:t>IRP</w:t>
      </w:r>
      <w:r w:rsidR="00361281">
        <w:t>”)</w:t>
      </w:r>
      <w:r w:rsidR="00233F43">
        <w:t>.</w:t>
      </w:r>
    </w:p>
    <w:p w14:paraId="0BFECB3F" w14:textId="2038106C" w:rsidR="00F338F7" w:rsidRPr="00205E3F" w:rsidRDefault="00F338F7" w:rsidP="00F338F7">
      <w:pPr>
        <w:pStyle w:val="ListParagraph"/>
        <w:numPr>
          <w:ilvl w:val="0"/>
          <w:numId w:val="23"/>
        </w:numPr>
        <w:tabs>
          <w:tab w:val="left" w:pos="2520"/>
        </w:tabs>
        <w:spacing w:line="360" w:lineRule="auto"/>
        <w:jc w:val="both"/>
      </w:pPr>
      <w:r w:rsidRPr="00205E3F">
        <w:t xml:space="preserve">Section XII </w:t>
      </w:r>
      <w:r w:rsidRPr="009E56E7">
        <w:t xml:space="preserve">(pages </w:t>
      </w:r>
      <w:r w:rsidR="00E15DD1">
        <w:t xml:space="preserve">63 </w:t>
      </w:r>
      <w:r w:rsidRPr="009E56E7">
        <w:t xml:space="preserve">to </w:t>
      </w:r>
      <w:r w:rsidR="000C54E8">
        <w:t>6</w:t>
      </w:r>
      <w:r w:rsidR="00E15DD1">
        <w:t>5</w:t>
      </w:r>
      <w:r w:rsidRPr="009E56E7">
        <w:t xml:space="preserve">) </w:t>
      </w:r>
      <w:r w:rsidRPr="004553EB">
        <w:t>pr</w:t>
      </w:r>
      <w:r w:rsidRPr="00205E3F">
        <w:t xml:space="preserve">ovides a discussion </w:t>
      </w:r>
      <w:r w:rsidR="00D17313">
        <w:t>of</w:t>
      </w:r>
      <w:r w:rsidRPr="00205E3F">
        <w:t xml:space="preserve"> wholesale </w:t>
      </w:r>
      <w:r w:rsidR="0020341B">
        <w:t>sales</w:t>
      </w:r>
      <w:r w:rsidR="00233F43">
        <w:t>.</w:t>
      </w:r>
    </w:p>
    <w:p w14:paraId="48C7DB1F" w14:textId="6E9AC29B" w:rsidR="00F338F7" w:rsidRPr="00205E3F" w:rsidRDefault="00F338F7" w:rsidP="00F338F7">
      <w:pPr>
        <w:pStyle w:val="ListParagraph"/>
        <w:numPr>
          <w:ilvl w:val="0"/>
          <w:numId w:val="23"/>
        </w:numPr>
        <w:tabs>
          <w:tab w:val="left" w:pos="2520"/>
        </w:tabs>
        <w:spacing w:line="360" w:lineRule="auto"/>
        <w:jc w:val="both"/>
      </w:pPr>
      <w:r w:rsidRPr="00205E3F">
        <w:t>Section XI</w:t>
      </w:r>
      <w:r w:rsidR="00323587">
        <w:t>II</w:t>
      </w:r>
      <w:r w:rsidRPr="00205E3F">
        <w:t xml:space="preserve"> </w:t>
      </w:r>
      <w:r w:rsidRPr="009E56E7">
        <w:t xml:space="preserve">(pages </w:t>
      </w:r>
      <w:r w:rsidR="000C54E8">
        <w:t>6</w:t>
      </w:r>
      <w:r w:rsidR="00E15DD1">
        <w:t>5</w:t>
      </w:r>
      <w:r w:rsidRPr="009E56E7">
        <w:t xml:space="preserve"> to </w:t>
      </w:r>
      <w:r w:rsidR="000C54E8">
        <w:t>6</w:t>
      </w:r>
      <w:r w:rsidR="00E15DD1">
        <w:t>6</w:t>
      </w:r>
      <w:r w:rsidRPr="009E56E7">
        <w:t xml:space="preserve">) </w:t>
      </w:r>
      <w:r w:rsidRPr="004553EB">
        <w:t>pr</w:t>
      </w:r>
      <w:r w:rsidRPr="00205E3F">
        <w:t xml:space="preserve">ovides a discussion of </w:t>
      </w:r>
      <w:r w:rsidR="00046498">
        <w:t>w</w:t>
      </w:r>
      <w:r w:rsidRPr="00205E3F">
        <w:t xml:space="preserve">orking </w:t>
      </w:r>
      <w:r w:rsidR="00046498">
        <w:t>c</w:t>
      </w:r>
      <w:r w:rsidRPr="00205E3F">
        <w:t>apital requirements</w:t>
      </w:r>
      <w:r w:rsidR="00233F43">
        <w:t>.</w:t>
      </w:r>
    </w:p>
    <w:p w14:paraId="362E06AF" w14:textId="77777777" w:rsidR="007E53A1" w:rsidRDefault="007E53A1" w:rsidP="00EF259D">
      <w:pPr>
        <w:tabs>
          <w:tab w:val="left" w:pos="2520"/>
        </w:tabs>
        <w:spacing w:line="360" w:lineRule="auto"/>
        <w:jc w:val="both"/>
      </w:pPr>
      <w:r>
        <w:tab/>
      </w:r>
    </w:p>
    <w:p w14:paraId="1EC339EC" w14:textId="77777777" w:rsidR="007E53A1" w:rsidRDefault="007E53A1" w:rsidP="007E53A1">
      <w:pPr>
        <w:pStyle w:val="BodyText"/>
        <w:spacing w:before="0" w:after="0" w:line="360" w:lineRule="auto"/>
        <w:ind w:left="720" w:hanging="720"/>
        <w:rPr>
          <w:b/>
        </w:rPr>
      </w:pPr>
      <w:r>
        <w:rPr>
          <w:b/>
        </w:rPr>
        <w:t>Q.</w:t>
      </w:r>
      <w:r>
        <w:rPr>
          <w:b/>
        </w:rPr>
        <w:tab/>
      </w:r>
      <w:r w:rsidR="00D24FDF">
        <w:rPr>
          <w:b/>
        </w:rPr>
        <w:t xml:space="preserve">MR. POROCH AND MS. ADAMS, </w:t>
      </w:r>
      <w:r>
        <w:rPr>
          <w:b/>
        </w:rPr>
        <w:t xml:space="preserve">PLEASE SUMMARIZE </w:t>
      </w:r>
      <w:r w:rsidR="00CC6DB1">
        <w:rPr>
          <w:b/>
        </w:rPr>
        <w:t>THE COMPANY’S REQUEST IN THIS CASE.</w:t>
      </w:r>
      <w:r>
        <w:rPr>
          <w:b/>
        </w:rPr>
        <w:t xml:space="preserve">  </w:t>
      </w:r>
    </w:p>
    <w:p w14:paraId="4291DE1D" w14:textId="78A9C328" w:rsidR="00CC6DB1" w:rsidRDefault="007E53A1" w:rsidP="00397FF8">
      <w:pPr>
        <w:numPr>
          <w:ilvl w:val="2"/>
          <w:numId w:val="0"/>
        </w:numPr>
        <w:spacing w:line="360" w:lineRule="auto"/>
        <w:ind w:left="720" w:hanging="720"/>
        <w:jc w:val="both"/>
        <w:outlineLvl w:val="2"/>
        <w:rPr>
          <w:rFonts w:eastAsia="MS Mincho"/>
          <w:szCs w:val="20"/>
          <w:lang w:eastAsia="en-US"/>
        </w:rPr>
      </w:pPr>
      <w:r>
        <w:rPr>
          <w:rFonts w:eastAsia="MS Mincho"/>
          <w:szCs w:val="20"/>
          <w:lang w:eastAsia="en-US"/>
        </w:rPr>
        <w:t>A.</w:t>
      </w:r>
      <w:r>
        <w:rPr>
          <w:rFonts w:eastAsia="MS Mincho"/>
          <w:szCs w:val="20"/>
          <w:lang w:eastAsia="en-US"/>
        </w:rPr>
        <w:tab/>
      </w:r>
      <w:r w:rsidR="00361281">
        <w:rPr>
          <w:rFonts w:eastAsia="MS Mincho"/>
          <w:szCs w:val="20"/>
          <w:lang w:eastAsia="en-US"/>
        </w:rPr>
        <w:t>The</w:t>
      </w:r>
      <w:r w:rsidR="00802198">
        <w:rPr>
          <w:rFonts w:eastAsia="MS Mincho"/>
          <w:szCs w:val="20"/>
          <w:lang w:eastAsia="en-US"/>
        </w:rPr>
        <w:t xml:space="preserve"> </w:t>
      </w:r>
      <w:r w:rsidR="00CC6DB1">
        <w:rPr>
          <w:rFonts w:eastAsia="MS Mincho"/>
          <w:szCs w:val="20"/>
          <w:lang w:eastAsia="en-US"/>
        </w:rPr>
        <w:t xml:space="preserve">Company is proposing </w:t>
      </w:r>
      <w:r w:rsidR="001B2F07">
        <w:rPr>
          <w:rFonts w:eastAsia="MS Mincho"/>
          <w:szCs w:val="20"/>
          <w:lang w:eastAsia="en-US"/>
        </w:rPr>
        <w:t>an ARP</w:t>
      </w:r>
      <w:r w:rsidR="00294D4D">
        <w:rPr>
          <w:rFonts w:eastAsia="MS Mincho"/>
          <w:szCs w:val="20"/>
          <w:lang w:eastAsia="en-US"/>
        </w:rPr>
        <w:t xml:space="preserve"> </w:t>
      </w:r>
      <w:r w:rsidR="00CC6DB1">
        <w:rPr>
          <w:rFonts w:eastAsia="MS Mincho"/>
          <w:szCs w:val="20"/>
          <w:lang w:eastAsia="en-US"/>
        </w:rPr>
        <w:t xml:space="preserve">that </w:t>
      </w:r>
      <w:r w:rsidR="00D24FDF" w:rsidRPr="00D24FDF">
        <w:rPr>
          <w:rFonts w:eastAsia="MS Mincho"/>
          <w:szCs w:val="20"/>
          <w:lang w:eastAsia="en-US"/>
        </w:rPr>
        <w:t xml:space="preserve">will </w:t>
      </w:r>
      <w:r w:rsidR="00CC6DB1">
        <w:rPr>
          <w:rFonts w:eastAsia="MS Mincho"/>
          <w:szCs w:val="20"/>
          <w:lang w:eastAsia="en-US"/>
        </w:rPr>
        <w:t>provide the following:</w:t>
      </w:r>
    </w:p>
    <w:p w14:paraId="7102CE08" w14:textId="12495AD6" w:rsidR="00CC6DB1" w:rsidRDefault="00CC6DB1" w:rsidP="00CC6DB1">
      <w:pPr>
        <w:pStyle w:val="ListParagraph"/>
        <w:numPr>
          <w:ilvl w:val="0"/>
          <w:numId w:val="35"/>
        </w:numPr>
        <w:spacing w:line="360" w:lineRule="auto"/>
        <w:jc w:val="both"/>
        <w:outlineLvl w:val="2"/>
        <w:rPr>
          <w:rFonts w:eastAsia="MS Mincho"/>
          <w:szCs w:val="20"/>
          <w:lang w:eastAsia="en-US"/>
        </w:rPr>
      </w:pPr>
      <w:r>
        <w:rPr>
          <w:rFonts w:eastAsia="MS Mincho"/>
          <w:szCs w:val="20"/>
          <w:lang w:eastAsia="en-US"/>
        </w:rPr>
        <w:t xml:space="preserve">Provide </w:t>
      </w:r>
      <w:r w:rsidR="00D24FDF" w:rsidRPr="00294D4D">
        <w:rPr>
          <w:rFonts w:eastAsia="MS Mincho"/>
          <w:szCs w:val="20"/>
          <w:lang w:eastAsia="en-US"/>
        </w:rPr>
        <w:t>customers wi</w:t>
      </w:r>
      <w:r w:rsidR="00DE63E7" w:rsidRPr="00294D4D">
        <w:rPr>
          <w:rFonts w:eastAsia="MS Mincho"/>
          <w:szCs w:val="20"/>
          <w:lang w:eastAsia="en-US"/>
        </w:rPr>
        <w:t>th</w:t>
      </w:r>
      <w:r w:rsidR="00D24FDF" w:rsidRPr="00294D4D">
        <w:rPr>
          <w:rFonts w:eastAsia="MS Mincho"/>
          <w:szCs w:val="20"/>
          <w:lang w:eastAsia="en-US"/>
        </w:rPr>
        <w:t xml:space="preserve"> the full benefits of the 201</w:t>
      </w:r>
      <w:r w:rsidR="00B16322" w:rsidRPr="00294D4D">
        <w:rPr>
          <w:rFonts w:eastAsia="MS Mincho"/>
          <w:szCs w:val="20"/>
          <w:lang w:eastAsia="en-US"/>
        </w:rPr>
        <w:t>7</w:t>
      </w:r>
      <w:r w:rsidR="00D24FDF" w:rsidRPr="00294D4D">
        <w:rPr>
          <w:rFonts w:eastAsia="MS Mincho"/>
          <w:szCs w:val="20"/>
          <w:lang w:eastAsia="en-US"/>
        </w:rPr>
        <w:t xml:space="preserve"> Tax Cuts and Jobs Act (“Tax Reform Act”)</w:t>
      </w:r>
      <w:r w:rsidR="00F338F7" w:rsidRPr="00294D4D">
        <w:rPr>
          <w:rFonts w:eastAsia="MS Mincho"/>
          <w:szCs w:val="20"/>
          <w:lang w:eastAsia="en-US"/>
        </w:rPr>
        <w:t xml:space="preserve"> while</w:t>
      </w:r>
      <w:r w:rsidR="00F1744C">
        <w:rPr>
          <w:rFonts w:eastAsia="MS Mincho"/>
          <w:szCs w:val="20"/>
          <w:lang w:eastAsia="en-US"/>
        </w:rPr>
        <w:t xml:space="preserve"> maintaining the Company’s financial integrity</w:t>
      </w:r>
      <w:r w:rsidR="00727AA5">
        <w:rPr>
          <w:rFonts w:eastAsia="MS Mincho"/>
          <w:szCs w:val="20"/>
          <w:lang w:eastAsia="en-US"/>
        </w:rPr>
        <w:t>;</w:t>
      </w:r>
      <w:r w:rsidR="00D24FDF" w:rsidRPr="00294D4D">
        <w:rPr>
          <w:rFonts w:eastAsia="MS Mincho"/>
          <w:szCs w:val="20"/>
          <w:lang w:eastAsia="en-US"/>
        </w:rPr>
        <w:t xml:space="preserve"> </w:t>
      </w:r>
    </w:p>
    <w:p w14:paraId="283D8A69" w14:textId="29F55AA5" w:rsidR="003F28EC" w:rsidRDefault="00CC6DB1" w:rsidP="009413F5">
      <w:pPr>
        <w:pStyle w:val="ListParagraph"/>
        <w:numPr>
          <w:ilvl w:val="0"/>
          <w:numId w:val="35"/>
        </w:numPr>
        <w:spacing w:line="360" w:lineRule="auto"/>
        <w:jc w:val="both"/>
        <w:outlineLvl w:val="2"/>
        <w:rPr>
          <w:rFonts w:eastAsia="MS Mincho"/>
          <w:szCs w:val="20"/>
          <w:lang w:eastAsia="en-US"/>
        </w:rPr>
      </w:pPr>
      <w:r w:rsidRPr="003F28EC">
        <w:rPr>
          <w:rFonts w:eastAsia="MS Mincho"/>
          <w:szCs w:val="20"/>
          <w:lang w:eastAsia="en-US"/>
        </w:rPr>
        <w:t>A</w:t>
      </w:r>
      <w:r w:rsidR="00D24FDF" w:rsidRPr="003F28EC">
        <w:rPr>
          <w:rFonts w:eastAsia="MS Mincho"/>
          <w:szCs w:val="20"/>
          <w:lang w:eastAsia="en-US"/>
        </w:rPr>
        <w:t xml:space="preserve">llow </w:t>
      </w:r>
      <w:r w:rsidR="00361281" w:rsidRPr="003F28EC">
        <w:rPr>
          <w:rFonts w:eastAsia="MS Mincho"/>
          <w:szCs w:val="20"/>
          <w:lang w:eastAsia="en-US"/>
        </w:rPr>
        <w:t>the Company</w:t>
      </w:r>
      <w:r w:rsidR="00D24FDF" w:rsidRPr="003F28EC">
        <w:rPr>
          <w:rFonts w:eastAsia="MS Mincho"/>
          <w:szCs w:val="20"/>
          <w:lang w:eastAsia="en-US"/>
        </w:rPr>
        <w:t xml:space="preserve"> to recover the necessary capital investments made since 2013 and </w:t>
      </w:r>
      <w:r w:rsidR="00DE63E7" w:rsidRPr="003F28EC">
        <w:rPr>
          <w:rFonts w:eastAsia="MS Mincho"/>
          <w:szCs w:val="20"/>
          <w:lang w:eastAsia="en-US"/>
        </w:rPr>
        <w:t>investments</w:t>
      </w:r>
      <w:r w:rsidR="00D24FDF" w:rsidRPr="003F28EC">
        <w:rPr>
          <w:rFonts w:eastAsia="MS Mincho"/>
          <w:szCs w:val="20"/>
          <w:lang w:eastAsia="en-US"/>
        </w:rPr>
        <w:t xml:space="preserve"> </w:t>
      </w:r>
      <w:r w:rsidR="00294D4D" w:rsidRPr="003F28EC">
        <w:rPr>
          <w:rFonts w:eastAsia="MS Mincho"/>
          <w:szCs w:val="20"/>
          <w:lang w:eastAsia="en-US"/>
        </w:rPr>
        <w:t xml:space="preserve">that </w:t>
      </w:r>
      <w:r w:rsidR="00D24FDF" w:rsidRPr="003F28EC">
        <w:rPr>
          <w:rFonts w:eastAsia="MS Mincho"/>
          <w:szCs w:val="20"/>
          <w:lang w:eastAsia="en-US"/>
        </w:rPr>
        <w:t xml:space="preserve">will </w:t>
      </w:r>
      <w:r w:rsidR="00361281" w:rsidRPr="003F28EC">
        <w:rPr>
          <w:rFonts w:eastAsia="MS Mincho"/>
          <w:szCs w:val="20"/>
          <w:lang w:eastAsia="en-US"/>
        </w:rPr>
        <w:t xml:space="preserve">be </w:t>
      </w:r>
      <w:r w:rsidR="00D24FDF" w:rsidRPr="003F28EC">
        <w:rPr>
          <w:rFonts w:eastAsia="MS Mincho"/>
          <w:szCs w:val="20"/>
          <w:lang w:eastAsia="en-US"/>
        </w:rPr>
        <w:t>ma</w:t>
      </w:r>
      <w:r w:rsidR="00361281" w:rsidRPr="003F28EC">
        <w:rPr>
          <w:rFonts w:eastAsia="MS Mincho"/>
          <w:szCs w:val="20"/>
          <w:lang w:eastAsia="en-US"/>
        </w:rPr>
        <w:t>de</w:t>
      </w:r>
      <w:r w:rsidR="00D24FDF" w:rsidRPr="003F28EC">
        <w:rPr>
          <w:rFonts w:eastAsia="MS Mincho"/>
          <w:szCs w:val="20"/>
          <w:lang w:eastAsia="en-US"/>
        </w:rPr>
        <w:t xml:space="preserve"> over the next three years</w:t>
      </w:r>
      <w:r w:rsidR="009320EB" w:rsidRPr="003F28EC">
        <w:rPr>
          <w:rFonts w:eastAsia="MS Mincho"/>
          <w:szCs w:val="20"/>
          <w:lang w:eastAsia="en-US"/>
        </w:rPr>
        <w:t xml:space="preserve"> </w:t>
      </w:r>
      <w:r w:rsidR="00CC1CD9" w:rsidRPr="003F28EC">
        <w:rPr>
          <w:rFonts w:eastAsia="MS Mincho"/>
          <w:szCs w:val="20"/>
          <w:lang w:eastAsia="en-US"/>
        </w:rPr>
        <w:t>with updated depreciation rates</w:t>
      </w:r>
      <w:r w:rsidR="00727AA5">
        <w:rPr>
          <w:rFonts w:eastAsia="MS Mincho"/>
          <w:szCs w:val="20"/>
          <w:lang w:eastAsia="en-US"/>
        </w:rPr>
        <w:t>;</w:t>
      </w:r>
      <w:r w:rsidR="00D24FDF" w:rsidRPr="003F28EC">
        <w:rPr>
          <w:rFonts w:eastAsia="MS Mincho"/>
          <w:szCs w:val="20"/>
          <w:lang w:eastAsia="en-US"/>
        </w:rPr>
        <w:t xml:space="preserve"> </w:t>
      </w:r>
    </w:p>
    <w:p w14:paraId="087A3B57" w14:textId="6261E8CD" w:rsidR="00CC6DB1" w:rsidRPr="003F28EC" w:rsidRDefault="00CC6DB1" w:rsidP="009413F5">
      <w:pPr>
        <w:pStyle w:val="ListParagraph"/>
        <w:numPr>
          <w:ilvl w:val="0"/>
          <w:numId w:val="35"/>
        </w:numPr>
        <w:spacing w:line="360" w:lineRule="auto"/>
        <w:jc w:val="both"/>
        <w:outlineLvl w:val="2"/>
        <w:rPr>
          <w:rFonts w:eastAsia="MS Mincho"/>
          <w:szCs w:val="20"/>
          <w:lang w:eastAsia="en-US"/>
        </w:rPr>
      </w:pPr>
      <w:r w:rsidRPr="003F28EC">
        <w:rPr>
          <w:rFonts w:eastAsia="MS Mincho"/>
          <w:szCs w:val="20"/>
          <w:lang w:eastAsia="en-US"/>
        </w:rPr>
        <w:lastRenderedPageBreak/>
        <w:t>R</w:t>
      </w:r>
      <w:r w:rsidR="00D24FDF" w:rsidRPr="003F28EC">
        <w:rPr>
          <w:rFonts w:eastAsia="MS Mincho"/>
          <w:szCs w:val="20"/>
          <w:lang w:eastAsia="en-US"/>
        </w:rPr>
        <w:t xml:space="preserve">easonably amortize the substantial </w:t>
      </w:r>
      <w:r w:rsidR="00802198" w:rsidRPr="003F28EC">
        <w:rPr>
          <w:rFonts w:eastAsia="MS Mincho"/>
          <w:szCs w:val="20"/>
          <w:lang w:eastAsia="en-US"/>
        </w:rPr>
        <w:t xml:space="preserve">deferred </w:t>
      </w:r>
      <w:r w:rsidR="00D24FDF" w:rsidRPr="003F28EC">
        <w:rPr>
          <w:rFonts w:eastAsia="MS Mincho"/>
          <w:szCs w:val="20"/>
          <w:lang w:eastAsia="en-US"/>
        </w:rPr>
        <w:t>storm damage expenses incurred since 2013 and set a reasonable level of anticipated storm damage expenses for the next three years in an effort to prevent further under recoveries</w:t>
      </w:r>
      <w:r w:rsidR="00727AA5">
        <w:rPr>
          <w:rFonts w:eastAsia="MS Mincho"/>
          <w:szCs w:val="20"/>
          <w:lang w:eastAsia="en-US"/>
        </w:rPr>
        <w:t>;</w:t>
      </w:r>
      <w:r w:rsidR="00F338F7" w:rsidRPr="003F28EC">
        <w:rPr>
          <w:rFonts w:eastAsia="MS Mincho"/>
          <w:szCs w:val="20"/>
          <w:lang w:eastAsia="en-US"/>
        </w:rPr>
        <w:t xml:space="preserve"> </w:t>
      </w:r>
    </w:p>
    <w:p w14:paraId="1E990737" w14:textId="406EAE53" w:rsidR="00CC1CD9" w:rsidRDefault="00623C40" w:rsidP="00294D4D">
      <w:pPr>
        <w:pStyle w:val="ListParagraph"/>
        <w:numPr>
          <w:ilvl w:val="0"/>
          <w:numId w:val="35"/>
        </w:numPr>
        <w:spacing w:line="360" w:lineRule="auto"/>
        <w:jc w:val="both"/>
        <w:outlineLvl w:val="2"/>
        <w:rPr>
          <w:rFonts w:eastAsia="MS Mincho"/>
          <w:szCs w:val="20"/>
          <w:lang w:eastAsia="en-US"/>
        </w:rPr>
      </w:pPr>
      <w:r>
        <w:rPr>
          <w:rFonts w:eastAsia="MS Mincho"/>
          <w:szCs w:val="20"/>
          <w:lang w:eastAsia="en-US"/>
        </w:rPr>
        <w:t xml:space="preserve">Allow the Company to recover the costs necessary to comply with the federal and state regulations </w:t>
      </w:r>
      <w:r w:rsidR="00D00789">
        <w:rPr>
          <w:rFonts w:eastAsia="MS Mincho"/>
          <w:szCs w:val="20"/>
          <w:lang w:eastAsia="en-US"/>
        </w:rPr>
        <w:t>for</w:t>
      </w:r>
      <w:r>
        <w:rPr>
          <w:rFonts w:eastAsia="MS Mincho"/>
          <w:szCs w:val="20"/>
          <w:lang w:eastAsia="en-US"/>
        </w:rPr>
        <w:t xml:space="preserve"> CCR ARO</w:t>
      </w:r>
      <w:r w:rsidR="00727AA5">
        <w:rPr>
          <w:rFonts w:eastAsia="MS Mincho"/>
          <w:szCs w:val="20"/>
          <w:lang w:eastAsia="en-US"/>
        </w:rPr>
        <w:t>;</w:t>
      </w:r>
      <w:r>
        <w:rPr>
          <w:rFonts w:eastAsia="MS Mincho"/>
          <w:szCs w:val="20"/>
          <w:lang w:eastAsia="en-US"/>
        </w:rPr>
        <w:t xml:space="preserve"> and  </w:t>
      </w:r>
    </w:p>
    <w:p w14:paraId="5443397E" w14:textId="1C525BD0" w:rsidR="00294D4D" w:rsidRDefault="00CC6DB1" w:rsidP="00294D4D">
      <w:pPr>
        <w:pStyle w:val="ListParagraph"/>
        <w:numPr>
          <w:ilvl w:val="0"/>
          <w:numId w:val="35"/>
        </w:numPr>
        <w:spacing w:line="360" w:lineRule="auto"/>
        <w:jc w:val="both"/>
        <w:outlineLvl w:val="2"/>
        <w:rPr>
          <w:rFonts w:eastAsia="MS Mincho"/>
          <w:szCs w:val="20"/>
          <w:lang w:eastAsia="en-US"/>
        </w:rPr>
      </w:pPr>
      <w:r>
        <w:rPr>
          <w:rFonts w:eastAsia="MS Mincho"/>
          <w:szCs w:val="20"/>
          <w:lang w:eastAsia="en-US"/>
        </w:rPr>
        <w:t>Finally, as Mr. Legg will discuss</w:t>
      </w:r>
      <w:r w:rsidR="00294D4D">
        <w:rPr>
          <w:rFonts w:eastAsia="MS Mincho"/>
          <w:szCs w:val="20"/>
          <w:lang w:eastAsia="en-US"/>
        </w:rPr>
        <w:t xml:space="preserve"> in his testimony,</w:t>
      </w:r>
      <w:r>
        <w:rPr>
          <w:rFonts w:eastAsia="MS Mincho"/>
          <w:szCs w:val="20"/>
          <w:lang w:eastAsia="en-US"/>
        </w:rPr>
        <w:t xml:space="preserve"> the Company plans to </w:t>
      </w:r>
      <w:r w:rsidR="00294D4D">
        <w:rPr>
          <w:rFonts w:eastAsia="MS Mincho"/>
          <w:szCs w:val="20"/>
          <w:lang w:eastAsia="en-US"/>
        </w:rPr>
        <w:t>m</w:t>
      </w:r>
      <w:r w:rsidR="00D24FDF" w:rsidRPr="00294D4D">
        <w:rPr>
          <w:rFonts w:eastAsia="MS Mincho"/>
          <w:szCs w:val="20"/>
          <w:lang w:eastAsia="en-US"/>
        </w:rPr>
        <w:t>odernize our rate design to reflect the evolving</w:t>
      </w:r>
      <w:r w:rsidR="00D24FDF" w:rsidRPr="009E172B">
        <w:rPr>
          <w:rFonts w:eastAsia="MS Mincho"/>
          <w:szCs w:val="20"/>
          <w:lang w:eastAsia="en-US"/>
        </w:rPr>
        <w:t xml:space="preserve"> nature of our business and our customers</w:t>
      </w:r>
      <w:r w:rsidR="00027C88" w:rsidRPr="009E172B">
        <w:rPr>
          <w:rFonts w:eastAsia="MS Mincho"/>
          <w:szCs w:val="20"/>
          <w:lang w:eastAsia="en-US"/>
        </w:rPr>
        <w:t>’</w:t>
      </w:r>
      <w:r w:rsidR="00D24FDF" w:rsidRPr="009E172B">
        <w:rPr>
          <w:rFonts w:eastAsia="MS Mincho"/>
          <w:szCs w:val="20"/>
          <w:lang w:eastAsia="en-US"/>
        </w:rPr>
        <w:t xml:space="preserve"> usage patterns.  </w:t>
      </w:r>
    </w:p>
    <w:p w14:paraId="32017C27" w14:textId="77777777" w:rsidR="00294D4D" w:rsidRDefault="00294D4D" w:rsidP="00294D4D">
      <w:pPr>
        <w:pStyle w:val="ListParagraph"/>
        <w:spacing w:line="360" w:lineRule="auto"/>
        <w:ind w:left="1440"/>
        <w:jc w:val="both"/>
        <w:outlineLvl w:val="2"/>
        <w:rPr>
          <w:rFonts w:eastAsia="MS Mincho"/>
          <w:szCs w:val="20"/>
          <w:lang w:eastAsia="en-US"/>
        </w:rPr>
      </w:pPr>
    </w:p>
    <w:p w14:paraId="7E04B4CA" w14:textId="1D9F768A" w:rsidR="0006230B" w:rsidRPr="009E172B" w:rsidRDefault="00D24FDF" w:rsidP="00294D4D">
      <w:pPr>
        <w:spacing w:line="360" w:lineRule="auto"/>
        <w:ind w:left="720"/>
        <w:jc w:val="both"/>
        <w:outlineLvl w:val="2"/>
        <w:rPr>
          <w:rFonts w:eastAsia="MS Mincho"/>
          <w:szCs w:val="20"/>
          <w:lang w:eastAsia="en-US"/>
        </w:rPr>
      </w:pPr>
      <w:r w:rsidRPr="009E172B">
        <w:rPr>
          <w:rFonts w:eastAsia="MS Mincho"/>
          <w:szCs w:val="20"/>
          <w:lang w:eastAsia="en-US"/>
        </w:rPr>
        <w:t xml:space="preserve">Importantly, </w:t>
      </w:r>
      <w:r w:rsidR="00361281" w:rsidRPr="009E172B">
        <w:rPr>
          <w:rFonts w:eastAsia="MS Mincho"/>
          <w:szCs w:val="20"/>
          <w:lang w:eastAsia="en-US"/>
        </w:rPr>
        <w:t xml:space="preserve">the requested </w:t>
      </w:r>
      <w:r w:rsidRPr="009E172B">
        <w:rPr>
          <w:rFonts w:eastAsia="MS Mincho"/>
          <w:szCs w:val="20"/>
          <w:lang w:eastAsia="en-US"/>
        </w:rPr>
        <w:t xml:space="preserve">increase is not driven by an increase in </w:t>
      </w:r>
      <w:r w:rsidR="00D205E6">
        <w:rPr>
          <w:rFonts w:eastAsia="MS Mincho"/>
          <w:szCs w:val="20"/>
          <w:lang w:eastAsia="en-US"/>
        </w:rPr>
        <w:t>o</w:t>
      </w:r>
      <w:r w:rsidR="00523E20">
        <w:rPr>
          <w:rFonts w:eastAsia="MS Mincho"/>
          <w:szCs w:val="20"/>
          <w:lang w:eastAsia="en-US"/>
        </w:rPr>
        <w:t xml:space="preserve">peration and </w:t>
      </w:r>
      <w:r w:rsidR="00D205E6">
        <w:rPr>
          <w:rFonts w:eastAsia="MS Mincho"/>
          <w:szCs w:val="20"/>
          <w:lang w:eastAsia="en-US"/>
        </w:rPr>
        <w:t>m</w:t>
      </w:r>
      <w:r w:rsidR="00523E20">
        <w:rPr>
          <w:rFonts w:eastAsia="MS Mincho"/>
          <w:szCs w:val="20"/>
          <w:lang w:eastAsia="en-US"/>
        </w:rPr>
        <w:t>aintenance (“</w:t>
      </w:r>
      <w:r w:rsidRPr="009E172B">
        <w:rPr>
          <w:rFonts w:eastAsia="MS Mincho"/>
          <w:szCs w:val="20"/>
          <w:lang w:eastAsia="en-US"/>
        </w:rPr>
        <w:t>O&amp;M</w:t>
      </w:r>
      <w:r w:rsidR="00523E20">
        <w:rPr>
          <w:rFonts w:eastAsia="MS Mincho"/>
          <w:szCs w:val="20"/>
          <w:lang w:eastAsia="en-US"/>
        </w:rPr>
        <w:t>”)</w:t>
      </w:r>
      <w:r w:rsidRPr="009E172B">
        <w:rPr>
          <w:rFonts w:eastAsia="MS Mincho"/>
          <w:szCs w:val="20"/>
          <w:lang w:eastAsia="en-US"/>
        </w:rPr>
        <w:t xml:space="preserve"> expenses</w:t>
      </w:r>
      <w:r w:rsidR="009E3D8C" w:rsidRPr="009E172B">
        <w:rPr>
          <w:rFonts w:eastAsia="MS Mincho"/>
          <w:szCs w:val="20"/>
          <w:lang w:eastAsia="en-US"/>
        </w:rPr>
        <w:t xml:space="preserve"> since the </w:t>
      </w:r>
      <w:r w:rsidR="00973B94">
        <w:rPr>
          <w:rFonts w:eastAsia="MS Mincho"/>
          <w:szCs w:val="20"/>
          <w:lang w:eastAsia="en-US"/>
        </w:rPr>
        <w:t>2013 Rate Case</w:t>
      </w:r>
      <w:r w:rsidRPr="009E172B">
        <w:rPr>
          <w:rFonts w:eastAsia="MS Mincho"/>
          <w:szCs w:val="20"/>
          <w:lang w:eastAsia="en-US"/>
        </w:rPr>
        <w:t>.  Our</w:t>
      </w:r>
      <w:r w:rsidR="00802198" w:rsidRPr="009E172B">
        <w:rPr>
          <w:rFonts w:eastAsia="MS Mincho"/>
          <w:szCs w:val="20"/>
          <w:lang w:eastAsia="en-US"/>
        </w:rPr>
        <w:t xml:space="preserve"> projected</w:t>
      </w:r>
      <w:r w:rsidRPr="009E172B">
        <w:rPr>
          <w:rFonts w:eastAsia="MS Mincho"/>
          <w:szCs w:val="20"/>
          <w:lang w:eastAsia="en-US"/>
        </w:rPr>
        <w:t xml:space="preserve"> O&amp;M expenses </w:t>
      </w:r>
      <w:r w:rsidR="009E3D8C" w:rsidRPr="009E172B">
        <w:rPr>
          <w:rFonts w:eastAsia="MS Mincho"/>
          <w:szCs w:val="20"/>
          <w:lang w:eastAsia="en-US"/>
        </w:rPr>
        <w:t xml:space="preserve">included in this filing </w:t>
      </w:r>
      <w:r w:rsidRPr="009E172B">
        <w:rPr>
          <w:rFonts w:eastAsia="MS Mincho"/>
          <w:szCs w:val="20"/>
          <w:lang w:eastAsia="en-US"/>
        </w:rPr>
        <w:t>are lower than the amount approved in the 2013</w:t>
      </w:r>
      <w:r w:rsidR="00046498" w:rsidRPr="009E172B">
        <w:rPr>
          <w:rFonts w:eastAsia="MS Mincho"/>
          <w:szCs w:val="20"/>
          <w:lang w:eastAsia="en-US"/>
        </w:rPr>
        <w:t xml:space="preserve"> </w:t>
      </w:r>
      <w:r w:rsidR="00973B94">
        <w:rPr>
          <w:rFonts w:eastAsia="MS Mincho"/>
          <w:szCs w:val="20"/>
          <w:lang w:eastAsia="en-US"/>
        </w:rPr>
        <w:t>Rate Case</w:t>
      </w:r>
      <w:r w:rsidRPr="009E172B">
        <w:rPr>
          <w:rFonts w:eastAsia="MS Mincho"/>
          <w:szCs w:val="20"/>
          <w:lang w:eastAsia="en-US"/>
        </w:rPr>
        <w:t>, despite inflationary pressures</w:t>
      </w:r>
      <w:r w:rsidR="00F1744C">
        <w:rPr>
          <w:rFonts w:eastAsia="MS Mincho"/>
          <w:szCs w:val="20"/>
          <w:lang w:eastAsia="en-US"/>
        </w:rPr>
        <w:t xml:space="preserve"> </w:t>
      </w:r>
      <w:r w:rsidR="00DA11DA">
        <w:t>and increased labor and health care costs</w:t>
      </w:r>
      <w:r w:rsidRPr="009E172B">
        <w:rPr>
          <w:rFonts w:eastAsia="MS Mincho"/>
          <w:szCs w:val="20"/>
          <w:lang w:eastAsia="en-US"/>
        </w:rPr>
        <w:t>.</w:t>
      </w:r>
    </w:p>
    <w:p w14:paraId="1598944F" w14:textId="77777777" w:rsidR="00D24FDF" w:rsidRDefault="00D24FDF" w:rsidP="00397FF8">
      <w:pPr>
        <w:numPr>
          <w:ilvl w:val="2"/>
          <w:numId w:val="0"/>
        </w:numPr>
        <w:spacing w:line="360" w:lineRule="auto"/>
        <w:ind w:left="720" w:hanging="720"/>
        <w:jc w:val="both"/>
        <w:outlineLvl w:val="2"/>
        <w:rPr>
          <w:rFonts w:eastAsia="MS Mincho"/>
          <w:szCs w:val="20"/>
          <w:highlight w:val="yellow"/>
          <w:lang w:eastAsia="en-US"/>
        </w:rPr>
      </w:pPr>
    </w:p>
    <w:p w14:paraId="197E55F8" w14:textId="1D164B55" w:rsidR="00D24FDF" w:rsidRDefault="00D24FDF" w:rsidP="00397FF8">
      <w:pPr>
        <w:numPr>
          <w:ilvl w:val="2"/>
          <w:numId w:val="0"/>
        </w:numPr>
        <w:spacing w:line="360" w:lineRule="auto"/>
        <w:ind w:left="720" w:hanging="720"/>
        <w:jc w:val="both"/>
        <w:outlineLvl w:val="2"/>
        <w:rPr>
          <w:rFonts w:eastAsia="MS Mincho"/>
          <w:szCs w:val="20"/>
          <w:lang w:eastAsia="en-US"/>
        </w:rPr>
      </w:pPr>
      <w:r w:rsidRPr="00C23928">
        <w:rPr>
          <w:rFonts w:eastAsia="MS Mincho"/>
          <w:szCs w:val="20"/>
          <w:lang w:eastAsia="en-US"/>
        </w:rPr>
        <w:tab/>
      </w:r>
      <w:r w:rsidR="00623C40">
        <w:rPr>
          <w:rFonts w:eastAsia="MS Mincho"/>
          <w:szCs w:val="20"/>
          <w:lang w:eastAsia="en-US"/>
        </w:rPr>
        <w:t xml:space="preserve">As </w:t>
      </w:r>
      <w:r w:rsidRPr="00D24FDF">
        <w:rPr>
          <w:rFonts w:eastAsia="MS Mincho"/>
          <w:szCs w:val="20"/>
          <w:lang w:eastAsia="en-US"/>
        </w:rPr>
        <w:t xml:space="preserve">Mr. Bowers </w:t>
      </w:r>
      <w:r w:rsidR="00623C40">
        <w:rPr>
          <w:rFonts w:eastAsia="MS Mincho"/>
          <w:szCs w:val="20"/>
          <w:lang w:eastAsia="en-US"/>
        </w:rPr>
        <w:t xml:space="preserve">discusses in his testimony, </w:t>
      </w:r>
      <w:r w:rsidRPr="00D24FDF">
        <w:rPr>
          <w:rFonts w:eastAsia="MS Mincho"/>
          <w:szCs w:val="20"/>
          <w:lang w:eastAsia="en-US"/>
        </w:rPr>
        <w:t xml:space="preserve">there are several factors that have increased our revenue requirement since 2013, and several factors </w:t>
      </w:r>
      <w:r w:rsidR="002148B4">
        <w:rPr>
          <w:rFonts w:eastAsia="MS Mincho"/>
          <w:szCs w:val="20"/>
          <w:lang w:eastAsia="en-US"/>
        </w:rPr>
        <w:t>that</w:t>
      </w:r>
      <w:r w:rsidRPr="00D24FDF">
        <w:rPr>
          <w:rFonts w:eastAsia="MS Mincho"/>
          <w:szCs w:val="20"/>
          <w:lang w:eastAsia="en-US"/>
        </w:rPr>
        <w:t xml:space="preserve"> have offset some of those increases.  As a result, </w:t>
      </w:r>
      <w:r w:rsidR="00CE6AFD">
        <w:rPr>
          <w:rFonts w:eastAsia="MS Mincho"/>
          <w:szCs w:val="20"/>
          <w:lang w:eastAsia="en-US"/>
        </w:rPr>
        <w:t xml:space="preserve">a significant portion </w:t>
      </w:r>
      <w:r w:rsidRPr="00D24FDF">
        <w:rPr>
          <w:rFonts w:eastAsia="MS Mincho"/>
          <w:szCs w:val="20"/>
          <w:lang w:eastAsia="en-US"/>
        </w:rPr>
        <w:t xml:space="preserve">of our increased cost of serving our customers has been mitigated.  </w:t>
      </w:r>
      <w:r w:rsidR="00CE6AFD">
        <w:rPr>
          <w:rFonts w:eastAsia="MS Mincho"/>
          <w:szCs w:val="20"/>
          <w:lang w:eastAsia="en-US"/>
        </w:rPr>
        <w:t>Despite these mitigating factors</w:t>
      </w:r>
      <w:r w:rsidRPr="00D24FDF">
        <w:rPr>
          <w:rFonts w:eastAsia="MS Mincho"/>
          <w:szCs w:val="20"/>
          <w:lang w:eastAsia="en-US"/>
        </w:rPr>
        <w:t xml:space="preserve">, the current base rates established by the Commission’s final order in the Company’s 2013 Rate Case </w:t>
      </w:r>
      <w:r w:rsidR="007F68FE">
        <w:rPr>
          <w:rFonts w:eastAsia="MS Mincho"/>
          <w:szCs w:val="20"/>
          <w:lang w:eastAsia="en-US"/>
        </w:rPr>
        <w:t>and revised through the 2015 and 2016 compliance filings</w:t>
      </w:r>
      <w:r w:rsidRPr="00D24FDF">
        <w:rPr>
          <w:rFonts w:eastAsia="MS Mincho"/>
          <w:szCs w:val="20"/>
          <w:lang w:eastAsia="en-US"/>
        </w:rPr>
        <w:t xml:space="preserve"> (</w:t>
      </w:r>
      <w:r w:rsidR="007F68FE">
        <w:rPr>
          <w:rFonts w:eastAsia="MS Mincho"/>
          <w:szCs w:val="20"/>
          <w:lang w:eastAsia="en-US"/>
        </w:rPr>
        <w:t xml:space="preserve">collectively the </w:t>
      </w:r>
      <w:r w:rsidRPr="00D24FDF">
        <w:rPr>
          <w:rFonts w:eastAsia="MS Mincho"/>
          <w:szCs w:val="20"/>
          <w:lang w:eastAsia="en-US"/>
        </w:rPr>
        <w:t xml:space="preserve">“2013 Rate Case Order”) </w:t>
      </w:r>
      <w:bookmarkStart w:id="2" w:name="_Hlk12376997"/>
      <w:r w:rsidRPr="00D24FDF">
        <w:rPr>
          <w:rFonts w:eastAsia="MS Mincho"/>
          <w:szCs w:val="20"/>
          <w:lang w:eastAsia="en-US"/>
        </w:rPr>
        <w:t>are no longer sufficient to allow the Company to</w:t>
      </w:r>
      <w:r w:rsidR="00FD2F3E">
        <w:rPr>
          <w:rFonts w:eastAsia="MS Mincho"/>
          <w:szCs w:val="20"/>
          <w:lang w:eastAsia="en-US"/>
        </w:rPr>
        <w:t xml:space="preserve"> </w:t>
      </w:r>
      <w:r w:rsidRPr="00D24FDF">
        <w:rPr>
          <w:rFonts w:eastAsia="MS Mincho"/>
          <w:szCs w:val="20"/>
          <w:lang w:eastAsia="en-US"/>
        </w:rPr>
        <w:t xml:space="preserve">recover the costs necessary to continue </w:t>
      </w:r>
      <w:r w:rsidR="00CE6AFD" w:rsidRPr="00D24FDF">
        <w:rPr>
          <w:rFonts w:eastAsia="MS Mincho"/>
          <w:szCs w:val="20"/>
          <w:lang w:eastAsia="en-US"/>
        </w:rPr>
        <w:t>provid</w:t>
      </w:r>
      <w:r w:rsidR="00CE6AFD">
        <w:rPr>
          <w:rFonts w:eastAsia="MS Mincho"/>
          <w:szCs w:val="20"/>
          <w:lang w:eastAsia="en-US"/>
        </w:rPr>
        <w:t>ing safe and reliable</w:t>
      </w:r>
      <w:r w:rsidR="00CE6AFD" w:rsidRPr="00D24FDF">
        <w:rPr>
          <w:rFonts w:eastAsia="MS Mincho"/>
          <w:szCs w:val="20"/>
          <w:lang w:eastAsia="en-US"/>
        </w:rPr>
        <w:t xml:space="preserve"> </w:t>
      </w:r>
      <w:r w:rsidRPr="00D24FDF">
        <w:rPr>
          <w:rFonts w:eastAsia="MS Mincho"/>
          <w:szCs w:val="20"/>
          <w:lang w:eastAsia="en-US"/>
        </w:rPr>
        <w:t xml:space="preserve">retail electric service </w:t>
      </w:r>
      <w:r w:rsidR="00F14206">
        <w:rPr>
          <w:rFonts w:eastAsia="MS Mincho"/>
          <w:szCs w:val="20"/>
          <w:lang w:eastAsia="en-US"/>
        </w:rPr>
        <w:t xml:space="preserve">for our </w:t>
      </w:r>
      <w:r w:rsidRPr="00D24FDF">
        <w:rPr>
          <w:rFonts w:eastAsia="MS Mincho"/>
          <w:szCs w:val="20"/>
          <w:lang w:eastAsia="en-US"/>
        </w:rPr>
        <w:t>customers</w:t>
      </w:r>
      <w:r w:rsidR="009320EB">
        <w:rPr>
          <w:rFonts w:eastAsia="MS Mincho"/>
          <w:szCs w:val="20"/>
          <w:lang w:eastAsia="en-US"/>
        </w:rPr>
        <w:t xml:space="preserve"> </w:t>
      </w:r>
      <w:r w:rsidR="00F14206">
        <w:rPr>
          <w:rFonts w:eastAsia="MS Mincho"/>
          <w:szCs w:val="20"/>
          <w:lang w:eastAsia="en-US"/>
        </w:rPr>
        <w:t xml:space="preserve">and </w:t>
      </w:r>
      <w:r w:rsidRPr="00D24FDF">
        <w:rPr>
          <w:rFonts w:eastAsia="MS Mincho"/>
          <w:szCs w:val="20"/>
          <w:lang w:eastAsia="en-US"/>
        </w:rPr>
        <w:t>maintain</w:t>
      </w:r>
      <w:r w:rsidR="00E40352">
        <w:rPr>
          <w:rFonts w:eastAsia="MS Mincho"/>
          <w:szCs w:val="20"/>
          <w:lang w:eastAsia="en-US"/>
        </w:rPr>
        <w:t>ing</w:t>
      </w:r>
      <w:r w:rsidRPr="00D24FDF">
        <w:rPr>
          <w:rFonts w:eastAsia="MS Mincho"/>
          <w:szCs w:val="20"/>
          <w:lang w:eastAsia="en-US"/>
        </w:rPr>
        <w:t xml:space="preserve"> </w:t>
      </w:r>
      <w:r w:rsidR="009E3D8C">
        <w:rPr>
          <w:rFonts w:eastAsia="MS Mincho"/>
          <w:szCs w:val="20"/>
          <w:lang w:eastAsia="en-US"/>
        </w:rPr>
        <w:t xml:space="preserve">the </w:t>
      </w:r>
      <w:r w:rsidRPr="00D24FDF">
        <w:rPr>
          <w:rFonts w:eastAsia="MS Mincho"/>
          <w:szCs w:val="20"/>
          <w:lang w:eastAsia="en-US"/>
        </w:rPr>
        <w:t>high levels of customer service that Georgia Power’s customers have come to expect</w:t>
      </w:r>
      <w:r>
        <w:rPr>
          <w:rFonts w:eastAsia="MS Mincho"/>
          <w:szCs w:val="20"/>
          <w:lang w:eastAsia="en-US"/>
        </w:rPr>
        <w:t>.</w:t>
      </w:r>
      <w:bookmarkEnd w:id="2"/>
      <w:r>
        <w:rPr>
          <w:rFonts w:eastAsia="MS Mincho"/>
          <w:szCs w:val="20"/>
          <w:lang w:eastAsia="en-US"/>
        </w:rPr>
        <w:t xml:space="preserve"> </w:t>
      </w:r>
    </w:p>
    <w:p w14:paraId="782FFF53" w14:textId="77777777" w:rsidR="002217AC" w:rsidRDefault="002217AC" w:rsidP="00397FF8">
      <w:pPr>
        <w:numPr>
          <w:ilvl w:val="2"/>
          <w:numId w:val="0"/>
        </w:numPr>
        <w:spacing w:line="360" w:lineRule="auto"/>
        <w:ind w:left="720" w:hanging="720"/>
        <w:jc w:val="both"/>
        <w:outlineLvl w:val="2"/>
        <w:rPr>
          <w:rFonts w:eastAsia="MS Mincho"/>
          <w:szCs w:val="20"/>
          <w:highlight w:val="yellow"/>
          <w:lang w:eastAsia="en-US"/>
        </w:rPr>
      </w:pPr>
    </w:p>
    <w:p w14:paraId="0C3E2D3D" w14:textId="77777777" w:rsidR="00690485" w:rsidRPr="00E1628E" w:rsidRDefault="00690485" w:rsidP="00690485">
      <w:pPr>
        <w:spacing w:line="360" w:lineRule="auto"/>
        <w:ind w:left="720" w:hanging="720"/>
        <w:jc w:val="both"/>
        <w:rPr>
          <w:b/>
        </w:rPr>
      </w:pPr>
      <w:r w:rsidRPr="005F19CB">
        <w:rPr>
          <w:b/>
        </w:rPr>
        <w:t>Q.</w:t>
      </w:r>
      <w:r w:rsidRPr="005F19CB">
        <w:rPr>
          <w:b/>
        </w:rPr>
        <w:tab/>
      </w:r>
      <w:r>
        <w:rPr>
          <w:b/>
        </w:rPr>
        <w:t>ARE THERE COSTS RELATED TO PLANT VOGTLE UNITS 3 AND 4 INCLUDED IN THIS FILING?</w:t>
      </w:r>
    </w:p>
    <w:p w14:paraId="485A43AB" w14:textId="0F88C6DD" w:rsidR="00690485" w:rsidRDefault="00690485" w:rsidP="00690485">
      <w:pPr>
        <w:spacing w:line="360" w:lineRule="auto"/>
        <w:ind w:left="720" w:hanging="720"/>
        <w:jc w:val="both"/>
      </w:pPr>
      <w:r w:rsidRPr="00EE152E">
        <w:t>A.</w:t>
      </w:r>
      <w:r w:rsidRPr="00EE152E">
        <w:tab/>
      </w:r>
      <w:r w:rsidR="00D00789">
        <w:t>O</w:t>
      </w:r>
      <w:r>
        <w:t xml:space="preserve">nly the Vogtle Units 3 and 4 cost components approved in the 2013 </w:t>
      </w:r>
      <w:r w:rsidR="00D00789">
        <w:t>Rate Case Order</w:t>
      </w:r>
      <w:r>
        <w:t xml:space="preserve"> are reflected in retail cost of service in this filing.  </w:t>
      </w:r>
      <w:r w:rsidR="006C4A3C">
        <w:t xml:space="preserve">In compliance with the 2013 Rate Case Order, the Company continues the adjustments for Vogtle 3 and 4 nuclear fuel </w:t>
      </w:r>
      <w:r w:rsidR="00770C7F">
        <w:t xml:space="preserve">and the </w:t>
      </w:r>
      <w:r w:rsidR="001A02F7">
        <w:lastRenderedPageBreak/>
        <w:t>Nuclear Construction Cost Recovery (“</w:t>
      </w:r>
      <w:r w:rsidR="00770C7F">
        <w:t>NCCR</w:t>
      </w:r>
      <w:r w:rsidR="001A02F7">
        <w:t>”)</w:t>
      </w:r>
      <w:r w:rsidR="00770C7F">
        <w:t xml:space="preserve"> Tariff.  In compliance with the VCM-17 final order, other </w:t>
      </w:r>
      <w:r>
        <w:t xml:space="preserve">Vogtle Units 3 and 4 costs </w:t>
      </w:r>
      <w:r w:rsidR="00D00789">
        <w:t xml:space="preserve">are </w:t>
      </w:r>
      <w:r>
        <w:t xml:space="preserve">excluded from this filing </w:t>
      </w:r>
      <w:r w:rsidR="00201383">
        <w:t xml:space="preserve">as </w:t>
      </w:r>
      <w:r>
        <w:t>shown in Exhibit___(DPP/SPA/MBR-6, Schedule 3).</w:t>
      </w:r>
    </w:p>
    <w:p w14:paraId="1D072416" w14:textId="77777777" w:rsidR="00690485" w:rsidRPr="00C23928" w:rsidRDefault="00690485">
      <w:pPr>
        <w:numPr>
          <w:ilvl w:val="2"/>
          <w:numId w:val="0"/>
        </w:numPr>
        <w:spacing w:line="360" w:lineRule="auto"/>
        <w:ind w:left="720" w:hanging="720"/>
        <w:jc w:val="both"/>
        <w:outlineLvl w:val="2"/>
        <w:rPr>
          <w:rFonts w:eastAsia="MS Mincho"/>
          <w:b/>
          <w:szCs w:val="20"/>
          <w:lang w:eastAsia="en-US"/>
        </w:rPr>
      </w:pPr>
    </w:p>
    <w:p w14:paraId="1AE52BD6" w14:textId="250A1260" w:rsidR="00D24FDF" w:rsidRPr="00C23928" w:rsidRDefault="00D24FDF" w:rsidP="008D39CA">
      <w:pPr>
        <w:numPr>
          <w:ilvl w:val="2"/>
          <w:numId w:val="0"/>
        </w:numPr>
        <w:spacing w:line="360" w:lineRule="auto"/>
        <w:ind w:left="720" w:hanging="720"/>
        <w:jc w:val="both"/>
        <w:outlineLvl w:val="2"/>
        <w:rPr>
          <w:rFonts w:eastAsia="MS Mincho"/>
          <w:b/>
          <w:szCs w:val="20"/>
          <w:lang w:eastAsia="en-US"/>
        </w:rPr>
      </w:pPr>
      <w:r w:rsidRPr="00C23928">
        <w:rPr>
          <w:rFonts w:eastAsia="MS Mincho"/>
          <w:b/>
          <w:szCs w:val="20"/>
          <w:lang w:eastAsia="en-US"/>
        </w:rPr>
        <w:t>Q.</w:t>
      </w:r>
      <w:r w:rsidRPr="00C23928">
        <w:rPr>
          <w:rFonts w:eastAsia="MS Mincho"/>
          <w:b/>
          <w:szCs w:val="20"/>
          <w:lang w:eastAsia="en-US"/>
        </w:rPr>
        <w:tab/>
        <w:t xml:space="preserve">MR. ROBINSON, PLEASE SUMMARIZE </w:t>
      </w:r>
      <w:r w:rsidR="00760F1E">
        <w:rPr>
          <w:rFonts w:eastAsia="MS Mincho"/>
          <w:b/>
          <w:szCs w:val="20"/>
          <w:lang w:eastAsia="en-US"/>
        </w:rPr>
        <w:t xml:space="preserve">THE </w:t>
      </w:r>
      <w:r w:rsidR="006133BD">
        <w:rPr>
          <w:rFonts w:eastAsia="MS Mincho"/>
          <w:b/>
          <w:szCs w:val="20"/>
          <w:lang w:eastAsia="en-US"/>
        </w:rPr>
        <w:t xml:space="preserve">T&amp;D INVESTMENTS YOU WILL </w:t>
      </w:r>
      <w:r w:rsidR="0028739B">
        <w:rPr>
          <w:rFonts w:eastAsia="MS Mincho"/>
          <w:b/>
          <w:szCs w:val="20"/>
          <w:lang w:eastAsia="en-US"/>
        </w:rPr>
        <w:t xml:space="preserve">DISCUSS </w:t>
      </w:r>
      <w:r w:rsidR="006133BD">
        <w:rPr>
          <w:rFonts w:eastAsia="MS Mincho"/>
          <w:b/>
          <w:szCs w:val="20"/>
          <w:lang w:eastAsia="en-US"/>
        </w:rPr>
        <w:t>IN YOUR TESTIMONY</w:t>
      </w:r>
      <w:r w:rsidRPr="00C23928">
        <w:rPr>
          <w:rFonts w:eastAsia="MS Mincho"/>
          <w:b/>
          <w:szCs w:val="20"/>
          <w:lang w:eastAsia="en-US"/>
        </w:rPr>
        <w:t>.</w:t>
      </w:r>
    </w:p>
    <w:p w14:paraId="64CF7F91" w14:textId="07528BA1" w:rsidR="00D24FDF" w:rsidRDefault="00D24FDF" w:rsidP="008D39CA">
      <w:pPr>
        <w:numPr>
          <w:ilvl w:val="2"/>
          <w:numId w:val="0"/>
        </w:numPr>
        <w:spacing w:line="360" w:lineRule="auto"/>
        <w:ind w:left="720" w:hanging="720"/>
        <w:jc w:val="both"/>
        <w:outlineLvl w:val="2"/>
      </w:pPr>
      <w:r w:rsidRPr="00C23928">
        <w:rPr>
          <w:rFonts w:eastAsia="MS Mincho"/>
          <w:szCs w:val="20"/>
          <w:lang w:eastAsia="en-US"/>
        </w:rPr>
        <w:t>A.</w:t>
      </w:r>
      <w:r w:rsidRPr="00C23928">
        <w:rPr>
          <w:rFonts w:eastAsia="MS Mincho"/>
          <w:szCs w:val="20"/>
          <w:lang w:eastAsia="en-US"/>
        </w:rPr>
        <w:tab/>
      </w:r>
      <w:r w:rsidRPr="007E209E">
        <w:t>The Company manages an extensive T&amp;D system that has served Georgia Power customers with reliable, affordable</w:t>
      </w:r>
      <w:r w:rsidR="0086177B">
        <w:t>,</w:t>
      </w:r>
      <w:r w:rsidRPr="007E209E">
        <w:t xml:space="preserve"> and safe electric service for</w:t>
      </w:r>
      <w:r w:rsidR="00DA3B90">
        <w:t xml:space="preserve"> over a century.</w:t>
      </w:r>
      <w:r w:rsidRPr="007E209E">
        <w:t xml:space="preserve">  </w:t>
      </w:r>
      <w:r w:rsidRPr="00D24FDF">
        <w:t xml:space="preserve">As </w:t>
      </w:r>
      <w:r w:rsidR="007F68FE">
        <w:t>p</w:t>
      </w:r>
      <w:r w:rsidRPr="00D24FDF">
        <w:t xml:space="preserve">art of the </w:t>
      </w:r>
      <w:r w:rsidR="00642199">
        <w:t>s</w:t>
      </w:r>
      <w:r w:rsidRPr="00D24FDF">
        <w:t>tipulation executed between Public Interest Advocacy Staff</w:t>
      </w:r>
      <w:r w:rsidR="006133BD">
        <w:t xml:space="preserve">, </w:t>
      </w:r>
      <w:r w:rsidRPr="00D24FDF">
        <w:t>the Company</w:t>
      </w:r>
      <w:r w:rsidR="006133BD">
        <w:t>, and certain Interven</w:t>
      </w:r>
      <w:r w:rsidR="004C3459">
        <w:t>o</w:t>
      </w:r>
      <w:r w:rsidR="006133BD">
        <w:t>rs</w:t>
      </w:r>
      <w:r w:rsidR="007F68FE">
        <w:t xml:space="preserve"> (</w:t>
      </w:r>
      <w:r w:rsidR="006133BD">
        <w:t xml:space="preserve">collectively </w:t>
      </w:r>
      <w:r w:rsidR="007F68FE">
        <w:t>the “Parties”)</w:t>
      </w:r>
      <w:r w:rsidRPr="00D24FDF">
        <w:t xml:space="preserve"> to resolve all issues in the 2019 IRP</w:t>
      </w:r>
      <w:r w:rsidR="004E4781">
        <w:t xml:space="preserve"> (“2019 IRP Stipulation”)</w:t>
      </w:r>
      <w:r w:rsidR="00046498">
        <w:t>,</w:t>
      </w:r>
      <w:r w:rsidRPr="00D24FDF">
        <w:t xml:space="preserve"> the Parties acknowledged that should the retirement of</w:t>
      </w:r>
      <w:r w:rsidR="00046498">
        <w:t xml:space="preserve"> Plant</w:t>
      </w:r>
      <w:r w:rsidRPr="00D24FDF">
        <w:t xml:space="preserve"> Bowen</w:t>
      </w:r>
      <w:r w:rsidR="00046498">
        <w:t xml:space="preserve"> Units</w:t>
      </w:r>
      <w:r w:rsidRPr="00D24FDF">
        <w:t xml:space="preserve"> 1 and 2 be necessary</w:t>
      </w:r>
      <w:r w:rsidR="00046498">
        <w:t>,</w:t>
      </w:r>
      <w:r w:rsidRPr="00D24FDF">
        <w:t xml:space="preserve"> there will be transmission issues that would need to be addressed in the 2019 base rate case</w:t>
      </w:r>
      <w:r w:rsidR="00537DB9" w:rsidRPr="00D24FDF">
        <w:t xml:space="preserve">.  </w:t>
      </w:r>
      <w:r w:rsidRPr="001C3374">
        <w:t xml:space="preserve">I am testifying in part to facilitate the </w:t>
      </w:r>
      <w:r w:rsidR="002C0313" w:rsidRPr="001C3374">
        <w:t>consideration</w:t>
      </w:r>
      <w:r w:rsidRPr="001C3374">
        <w:t xml:space="preserve"> of </w:t>
      </w:r>
      <w:r w:rsidR="001C3374" w:rsidRPr="001C3374">
        <w:t>this issue</w:t>
      </w:r>
      <w:r w:rsidR="00D45C34" w:rsidRPr="001C3374">
        <w:t>.</w:t>
      </w:r>
      <w:r w:rsidRPr="00D24FDF">
        <w:t xml:space="preserve"> </w:t>
      </w:r>
    </w:p>
    <w:p w14:paraId="075DBAD1" w14:textId="77777777" w:rsidR="00D24FDF" w:rsidRDefault="00D24FDF" w:rsidP="008D39CA">
      <w:pPr>
        <w:numPr>
          <w:ilvl w:val="2"/>
          <w:numId w:val="0"/>
        </w:numPr>
        <w:spacing w:line="360" w:lineRule="auto"/>
        <w:ind w:left="720" w:hanging="720"/>
        <w:jc w:val="both"/>
        <w:outlineLvl w:val="2"/>
      </w:pPr>
      <w:r>
        <w:tab/>
      </w:r>
    </w:p>
    <w:p w14:paraId="31D48EF0" w14:textId="18E4B5B5" w:rsidR="00D24FDF" w:rsidRPr="00397FF8" w:rsidRDefault="00D24FDF" w:rsidP="00C23928">
      <w:pPr>
        <w:numPr>
          <w:ilvl w:val="2"/>
          <w:numId w:val="0"/>
        </w:numPr>
        <w:spacing w:line="360" w:lineRule="auto"/>
        <w:ind w:left="720" w:hanging="720"/>
        <w:jc w:val="both"/>
        <w:outlineLvl w:val="2"/>
      </w:pPr>
      <w:r>
        <w:tab/>
        <w:t xml:space="preserve">In addition, I will present to the Commission the Company’s overall plans to increase our investment in the </w:t>
      </w:r>
      <w:r w:rsidR="007F68FE">
        <w:t>T&amp;D</w:t>
      </w:r>
      <w:r>
        <w:t xml:space="preserve"> system for the benefit of Georgia Po</w:t>
      </w:r>
      <w:r w:rsidR="008D39CA">
        <w:t>wer customers</w:t>
      </w:r>
      <w:r w:rsidR="00537DB9">
        <w:t xml:space="preserve">.  </w:t>
      </w:r>
      <w:r w:rsidRPr="00397FF8">
        <w:t xml:space="preserve">Georgia Power continually evaluates options for building, operating, and maintaining </w:t>
      </w:r>
      <w:r w:rsidR="00F14206">
        <w:t xml:space="preserve">our network </w:t>
      </w:r>
      <w:r w:rsidRPr="00397FF8">
        <w:t>performance</w:t>
      </w:r>
      <w:r w:rsidR="00537DB9" w:rsidRPr="00397FF8">
        <w:t>.</w:t>
      </w:r>
      <w:r w:rsidR="00537DB9">
        <w:t xml:space="preserve">  </w:t>
      </w:r>
      <w:r w:rsidRPr="00397FF8">
        <w:t>The Company determined that it must increase grid investments to address two emerging issues.</w:t>
      </w:r>
      <w:r>
        <w:t xml:space="preserve">  </w:t>
      </w:r>
      <w:r w:rsidRPr="007E209E">
        <w:t xml:space="preserve">First, a significant portion of the Company’s transmission assets are approaching or have exceeded industry standards for </w:t>
      </w:r>
      <w:r>
        <w:t xml:space="preserve">expected </w:t>
      </w:r>
      <w:r w:rsidRPr="007E209E">
        <w:t xml:space="preserve">life. Without implementing a more proactive approach, the Company </w:t>
      </w:r>
      <w:r w:rsidR="00D45C34">
        <w:t xml:space="preserve">will </w:t>
      </w:r>
      <w:r w:rsidRPr="007E209E">
        <w:t>experience increased</w:t>
      </w:r>
      <w:r w:rsidR="00D45C34">
        <w:t xml:space="preserve"> equipment</w:t>
      </w:r>
      <w:r w:rsidRPr="007E209E">
        <w:t xml:space="preserve"> failures, higher maintenance costs, and higher replacement costs</w:t>
      </w:r>
      <w:r w:rsidR="00537DB9" w:rsidRPr="007E209E">
        <w:t>.</w:t>
      </w:r>
      <w:r w:rsidR="00537DB9" w:rsidRPr="00A64E68">
        <w:t xml:space="preserve">  </w:t>
      </w:r>
      <w:r w:rsidRPr="007E209E">
        <w:t xml:space="preserve">Second, the Company must invest in certain </w:t>
      </w:r>
      <w:r w:rsidR="00355CA7">
        <w:t xml:space="preserve">distribution </w:t>
      </w:r>
      <w:r w:rsidRPr="007E209E">
        <w:t xml:space="preserve">feeders on the system to ensure that all customers are receiving appropriate levels of </w:t>
      </w:r>
      <w:r w:rsidR="00232AA6">
        <w:t>reliability.</w:t>
      </w:r>
    </w:p>
    <w:p w14:paraId="427C4AB4" w14:textId="77777777" w:rsidR="00D24FDF" w:rsidRDefault="00D24FDF" w:rsidP="00D24FDF">
      <w:pPr>
        <w:spacing w:line="360" w:lineRule="auto"/>
      </w:pPr>
    </w:p>
    <w:p w14:paraId="786F9C58" w14:textId="5431EF58" w:rsidR="00674DF8" w:rsidRDefault="00D24FDF" w:rsidP="0007136B">
      <w:pPr>
        <w:numPr>
          <w:ilvl w:val="2"/>
          <w:numId w:val="0"/>
        </w:numPr>
        <w:spacing w:line="360" w:lineRule="auto"/>
        <w:ind w:left="720"/>
        <w:jc w:val="both"/>
        <w:outlineLvl w:val="2"/>
        <w:rPr>
          <w:rFonts w:eastAsia="Times New Roman"/>
          <w:lang w:eastAsia="en-US" w:bidi="en-US"/>
        </w:rPr>
      </w:pPr>
      <w:r w:rsidRPr="007E209E">
        <w:t>Georgia Power has made strategic infrastructure investments that have substantially benefited customers over the past decade.</w:t>
      </w:r>
      <w:r w:rsidR="00232AA6">
        <w:t xml:space="preserve">  </w:t>
      </w:r>
      <w:r w:rsidRPr="007E209E">
        <w:t xml:space="preserve">Over the next </w:t>
      </w:r>
      <w:r w:rsidR="00CA01FE">
        <w:t>several years</w:t>
      </w:r>
      <w:r w:rsidRPr="007E209E">
        <w:t xml:space="preserve">, the Company </w:t>
      </w:r>
      <w:r w:rsidR="00F14206">
        <w:t>will</w:t>
      </w:r>
      <w:r w:rsidRPr="007E209E">
        <w:t xml:space="preserve"> continue making </w:t>
      </w:r>
      <w:r w:rsidR="00201383">
        <w:t xml:space="preserve">prudent and </w:t>
      </w:r>
      <w:r w:rsidRPr="007E209E">
        <w:t>necessary infrastructure investments required to improve reliability and service for customers</w:t>
      </w:r>
      <w:r w:rsidR="00537DB9" w:rsidRPr="007E209E">
        <w:t>.</w:t>
      </w:r>
      <w:r w:rsidR="00537DB9" w:rsidRPr="00872458">
        <w:rPr>
          <w:rFonts w:eastAsia="Times New Roman"/>
          <w:lang w:eastAsia="en-US" w:bidi="en-US"/>
        </w:rPr>
        <w:t xml:space="preserve">  </w:t>
      </w:r>
      <w:r>
        <w:rPr>
          <w:rFonts w:eastAsia="Times New Roman"/>
          <w:lang w:eastAsia="en-US" w:bidi="en-US"/>
        </w:rPr>
        <w:t xml:space="preserve">The Commission enabled a pathway for the initial </w:t>
      </w:r>
      <w:r>
        <w:rPr>
          <w:rFonts w:eastAsia="Times New Roman"/>
          <w:lang w:eastAsia="en-US" w:bidi="en-US"/>
        </w:rPr>
        <w:lastRenderedPageBreak/>
        <w:t>investment in the Advanced Metering Infrastructure (“AMI”) project</w:t>
      </w:r>
      <w:r w:rsidR="00201383">
        <w:rPr>
          <w:rFonts w:eastAsia="Times New Roman"/>
          <w:lang w:eastAsia="en-US" w:bidi="en-US"/>
        </w:rPr>
        <w:t>,</w:t>
      </w:r>
      <w:r w:rsidR="00CA01FE">
        <w:rPr>
          <w:rFonts w:eastAsia="Times New Roman"/>
          <w:lang w:eastAsia="en-US" w:bidi="en-US"/>
        </w:rPr>
        <w:t xml:space="preserve"> and </w:t>
      </w:r>
      <w:r w:rsidR="0004283A">
        <w:rPr>
          <w:rFonts w:eastAsia="Times New Roman"/>
          <w:lang w:eastAsia="en-US" w:bidi="en-US"/>
        </w:rPr>
        <w:t xml:space="preserve">the Company </w:t>
      </w:r>
      <w:r>
        <w:rPr>
          <w:rFonts w:eastAsia="Times New Roman"/>
          <w:lang w:eastAsia="en-US" w:bidi="en-US"/>
        </w:rPr>
        <w:t>now ha</w:t>
      </w:r>
      <w:r w:rsidR="0004283A">
        <w:rPr>
          <w:rFonts w:eastAsia="Times New Roman"/>
          <w:lang w:eastAsia="en-US" w:bidi="en-US"/>
        </w:rPr>
        <w:t>s</w:t>
      </w:r>
      <w:r>
        <w:rPr>
          <w:rFonts w:eastAsia="Times New Roman"/>
          <w:lang w:eastAsia="en-US" w:bidi="en-US"/>
        </w:rPr>
        <w:t xml:space="preserve"> more comprehensive data and analytic</w:t>
      </w:r>
      <w:r w:rsidR="001204D7">
        <w:rPr>
          <w:rFonts w:eastAsia="Times New Roman"/>
          <w:lang w:eastAsia="en-US" w:bidi="en-US"/>
        </w:rPr>
        <w:t>al</w:t>
      </w:r>
      <w:r>
        <w:rPr>
          <w:rFonts w:eastAsia="Times New Roman"/>
          <w:lang w:eastAsia="en-US" w:bidi="en-US"/>
        </w:rPr>
        <w:t xml:space="preserve"> results that will allow us to improve the customer experience for nearly 1.1 million</w:t>
      </w:r>
      <w:r w:rsidR="00232AA6">
        <w:rPr>
          <w:rFonts w:eastAsia="Times New Roman"/>
          <w:lang w:eastAsia="en-US" w:bidi="en-US"/>
        </w:rPr>
        <w:t xml:space="preserve"> additional</w:t>
      </w:r>
      <w:r>
        <w:rPr>
          <w:rFonts w:eastAsia="Times New Roman"/>
          <w:lang w:eastAsia="en-US" w:bidi="en-US"/>
        </w:rPr>
        <w:t xml:space="preserve"> customers. </w:t>
      </w:r>
      <w:r w:rsidRPr="00872458">
        <w:rPr>
          <w:rFonts w:eastAsia="Times New Roman"/>
          <w:lang w:eastAsia="en-US" w:bidi="en-US"/>
        </w:rPr>
        <w:t xml:space="preserve"> </w:t>
      </w:r>
    </w:p>
    <w:p w14:paraId="0ED241B4" w14:textId="4D8848B0" w:rsidR="00E378D9" w:rsidRDefault="00BA192A" w:rsidP="001204D7">
      <w:pPr>
        <w:spacing w:line="360" w:lineRule="auto"/>
        <w:rPr>
          <w:rFonts w:eastAsia="Times New Roman"/>
          <w:lang w:eastAsia="en-US" w:bidi="en-US"/>
        </w:rPr>
      </w:pPr>
      <w:r>
        <w:rPr>
          <w:rFonts w:eastAsia="Times New Roman"/>
          <w:lang w:eastAsia="en-US" w:bidi="en-US"/>
        </w:rPr>
        <w:tab/>
      </w:r>
      <w:r w:rsidR="007E209E">
        <w:rPr>
          <w:rFonts w:eastAsia="Times New Roman"/>
          <w:lang w:eastAsia="en-US" w:bidi="en-US"/>
        </w:rPr>
        <w:tab/>
      </w:r>
      <w:r w:rsidR="007E209E">
        <w:rPr>
          <w:rFonts w:eastAsia="Times New Roman"/>
          <w:lang w:eastAsia="en-US" w:bidi="en-US"/>
        </w:rPr>
        <w:tab/>
      </w:r>
    </w:p>
    <w:p w14:paraId="0059617B" w14:textId="77777777" w:rsidR="003F28EC" w:rsidRDefault="003F28EC" w:rsidP="001204D7">
      <w:pPr>
        <w:spacing w:line="360" w:lineRule="auto"/>
        <w:rPr>
          <w:rFonts w:eastAsia="Times New Roman"/>
          <w:lang w:eastAsia="en-US" w:bidi="en-US"/>
        </w:rPr>
      </w:pPr>
    </w:p>
    <w:p w14:paraId="332F4A18" w14:textId="619D65FD" w:rsidR="00F94068" w:rsidRDefault="00201383" w:rsidP="001204D7">
      <w:pPr>
        <w:pStyle w:val="OutlineL1"/>
        <w:spacing w:after="0" w:line="360" w:lineRule="auto"/>
      </w:pPr>
      <w:bookmarkStart w:id="3" w:name="_Ref11173347"/>
      <w:bookmarkStart w:id="4" w:name="_Toc11174245"/>
      <w:r>
        <w:t xml:space="preserve">OVERVIEW </w:t>
      </w:r>
      <w:r w:rsidR="00F94068">
        <w:t>OF THE COMPANY’S REQUEST AND THE PRINCIPAL FACTORS AFFECTING THAT REQUEST</w:t>
      </w:r>
    </w:p>
    <w:bookmarkEnd w:id="3"/>
    <w:bookmarkEnd w:id="4"/>
    <w:p w14:paraId="17C1D0D6" w14:textId="77777777" w:rsidR="001204D7" w:rsidRDefault="001204D7" w:rsidP="001204D7">
      <w:pPr>
        <w:pStyle w:val="BodyText"/>
        <w:spacing w:before="0" w:after="0" w:line="360" w:lineRule="auto"/>
        <w:ind w:left="720" w:hanging="720"/>
        <w:rPr>
          <w:b/>
        </w:rPr>
      </w:pPr>
    </w:p>
    <w:p w14:paraId="7F4A750B" w14:textId="1A99C25B" w:rsidR="00901394" w:rsidRPr="005F19CB" w:rsidRDefault="00901394" w:rsidP="001204D7">
      <w:pPr>
        <w:pStyle w:val="BodyText"/>
        <w:spacing w:before="0" w:after="0" w:line="360" w:lineRule="auto"/>
        <w:ind w:left="720" w:hanging="720"/>
        <w:rPr>
          <w:b/>
        </w:rPr>
      </w:pPr>
      <w:r w:rsidRPr="005F19CB">
        <w:rPr>
          <w:b/>
        </w:rPr>
        <w:t>Q.</w:t>
      </w:r>
      <w:r w:rsidRPr="005F19CB">
        <w:rPr>
          <w:b/>
        </w:rPr>
        <w:tab/>
        <w:t>WHAT IS THE COMPANY</w:t>
      </w:r>
      <w:r>
        <w:rPr>
          <w:b/>
        </w:rPr>
        <w:t>’S</w:t>
      </w:r>
      <w:r w:rsidRPr="005F19CB">
        <w:rPr>
          <w:b/>
        </w:rPr>
        <w:t xml:space="preserve"> REQUEST</w:t>
      </w:r>
      <w:r>
        <w:rPr>
          <w:b/>
        </w:rPr>
        <w:t xml:space="preserve">ED INCREASE </w:t>
      </w:r>
      <w:r w:rsidRPr="005F19CB">
        <w:rPr>
          <w:b/>
        </w:rPr>
        <w:t>IN BASE RATES</w:t>
      </w:r>
      <w:r>
        <w:rPr>
          <w:b/>
        </w:rPr>
        <w:t>?</w:t>
      </w:r>
    </w:p>
    <w:p w14:paraId="5109DF76" w14:textId="01348AD2" w:rsidR="00363BA0" w:rsidRDefault="00901394" w:rsidP="00363BA0">
      <w:pPr>
        <w:pStyle w:val="BodyText"/>
        <w:spacing w:before="0" w:after="0" w:line="360" w:lineRule="auto"/>
        <w:ind w:left="720" w:hanging="720"/>
      </w:pPr>
      <w:r w:rsidRPr="005F19CB">
        <w:rPr>
          <w:rFonts w:eastAsia="Times New Roman"/>
          <w:lang w:eastAsia="en-US"/>
        </w:rPr>
        <w:t>A.</w:t>
      </w:r>
      <w:r w:rsidRPr="005F19CB">
        <w:rPr>
          <w:rFonts w:eastAsia="Times New Roman"/>
          <w:lang w:eastAsia="en-US"/>
        </w:rPr>
        <w:tab/>
      </w:r>
      <w:r w:rsidR="0075627A">
        <w:rPr>
          <w:rFonts w:eastAsia="Times New Roman"/>
          <w:lang w:eastAsia="en-US"/>
        </w:rPr>
        <w:t xml:space="preserve">As </w:t>
      </w:r>
      <w:r w:rsidR="00C3366C">
        <w:rPr>
          <w:rFonts w:eastAsia="Times New Roman"/>
          <w:lang w:eastAsia="en-US"/>
        </w:rPr>
        <w:t>we will</w:t>
      </w:r>
      <w:r w:rsidR="0075627A">
        <w:rPr>
          <w:rFonts w:eastAsia="Times New Roman"/>
          <w:lang w:eastAsia="en-US"/>
        </w:rPr>
        <w:t xml:space="preserve"> explain later in</w:t>
      </w:r>
      <w:r w:rsidR="00C3366C">
        <w:rPr>
          <w:rFonts w:eastAsia="Times New Roman"/>
          <w:lang w:eastAsia="en-US"/>
        </w:rPr>
        <w:t xml:space="preserve"> our</w:t>
      </w:r>
      <w:r w:rsidR="0075627A">
        <w:rPr>
          <w:rFonts w:eastAsia="Times New Roman"/>
          <w:lang w:eastAsia="en-US"/>
        </w:rPr>
        <w:t xml:space="preserve"> testimony</w:t>
      </w:r>
      <w:r w:rsidR="00377AE6">
        <w:rPr>
          <w:rFonts w:eastAsia="Times New Roman"/>
          <w:lang w:eastAsia="en-US"/>
        </w:rPr>
        <w:t>,</w:t>
      </w:r>
      <w:r w:rsidR="0075627A">
        <w:rPr>
          <w:rFonts w:eastAsia="Times New Roman"/>
          <w:lang w:eastAsia="en-US"/>
        </w:rPr>
        <w:t xml:space="preserve"> the Company is requesting a continuation of the </w:t>
      </w:r>
      <w:r w:rsidR="00C3366C">
        <w:rPr>
          <w:rFonts w:eastAsia="Times New Roman"/>
          <w:lang w:eastAsia="en-US"/>
        </w:rPr>
        <w:t xml:space="preserve">ARP with two step increases during the </w:t>
      </w:r>
      <w:r w:rsidR="00F14206">
        <w:rPr>
          <w:rFonts w:eastAsia="Times New Roman"/>
          <w:lang w:eastAsia="en-US"/>
        </w:rPr>
        <w:t>three</w:t>
      </w:r>
      <w:r w:rsidR="008F1E8F">
        <w:rPr>
          <w:rFonts w:eastAsia="Times New Roman"/>
          <w:lang w:eastAsia="en-US"/>
        </w:rPr>
        <w:t>-</w:t>
      </w:r>
      <w:r w:rsidR="00F14206">
        <w:rPr>
          <w:rFonts w:eastAsia="Times New Roman"/>
          <w:lang w:eastAsia="en-US"/>
        </w:rPr>
        <w:t xml:space="preserve">year </w:t>
      </w:r>
      <w:r w:rsidR="00C3366C">
        <w:rPr>
          <w:rFonts w:eastAsia="Times New Roman"/>
          <w:lang w:eastAsia="en-US"/>
        </w:rPr>
        <w:t>term of the ARP</w:t>
      </w:r>
      <w:r w:rsidR="00C3366C" w:rsidRPr="003327C4">
        <w:t>.</w:t>
      </w:r>
      <w:r w:rsidR="00F14206">
        <w:t xml:space="preserve"> </w:t>
      </w:r>
      <w:r w:rsidR="008F1E8F">
        <w:t xml:space="preserve"> The primary drivers of the increase</w:t>
      </w:r>
      <w:r w:rsidR="00140B9A">
        <w:t xml:space="preserve"> </w:t>
      </w:r>
      <w:r w:rsidR="008F1E8F">
        <w:t xml:space="preserve">will be discussed later in our testimony, however, key components include the continued </w:t>
      </w:r>
      <w:r w:rsidR="008F1E8F" w:rsidRPr="00D40436">
        <w:t xml:space="preserve">investment in </w:t>
      </w:r>
      <w:r w:rsidR="008F1E8F">
        <w:t>the production, transmission and delivery of clean, safe, reliable electricity to our customers;</w:t>
      </w:r>
      <w:r w:rsidR="008F1E8F" w:rsidRPr="008F1E8F">
        <w:t xml:space="preserve"> </w:t>
      </w:r>
      <w:r w:rsidR="008F1E8F">
        <w:t xml:space="preserve">the </w:t>
      </w:r>
      <w:r w:rsidR="008F1E8F" w:rsidRPr="008D39CA">
        <w:t>need to amortize</w:t>
      </w:r>
      <w:r w:rsidR="008F1E8F">
        <w:t xml:space="preserve"> and recover</w:t>
      </w:r>
      <w:r w:rsidR="008F1E8F" w:rsidRPr="008D39CA">
        <w:t xml:space="preserve"> the </w:t>
      </w:r>
      <w:r w:rsidR="008F1E8F">
        <w:t>deferred</w:t>
      </w:r>
      <w:r w:rsidR="008F1E8F" w:rsidRPr="008D39CA">
        <w:t xml:space="preserve"> </w:t>
      </w:r>
      <w:r w:rsidR="008F1E8F">
        <w:t>storm damage costs including</w:t>
      </w:r>
      <w:r w:rsidR="008F1E8F" w:rsidRPr="008D39CA">
        <w:t xml:space="preserve"> four major storms since 201</w:t>
      </w:r>
      <w:r w:rsidR="00626C5D">
        <w:t>3</w:t>
      </w:r>
      <w:r w:rsidR="008F1E8F">
        <w:t xml:space="preserve">; the need to update our </w:t>
      </w:r>
      <w:r w:rsidR="008F1E8F" w:rsidRPr="008D39CA">
        <w:t xml:space="preserve">depreciation and amortization </w:t>
      </w:r>
      <w:r w:rsidR="008F1E8F">
        <w:t>expenses to account for current conditions;</w:t>
      </w:r>
      <w:r w:rsidR="00AD6EF9">
        <w:t xml:space="preserve"> and</w:t>
      </w:r>
      <w:r w:rsidR="008F1E8F">
        <w:t xml:space="preserve"> the </w:t>
      </w:r>
      <w:r w:rsidR="008F1E8F" w:rsidRPr="008D39CA">
        <w:t>need to address incremental CCR ARO compliance costs that the Company is incurring to comply with state and federal regulations</w:t>
      </w:r>
      <w:r w:rsidR="00AF4938">
        <w:t>.  There are some</w:t>
      </w:r>
      <w:r w:rsidR="00140B9A">
        <w:t xml:space="preserve"> offsetting </w:t>
      </w:r>
      <w:r w:rsidR="00AF4938">
        <w:t xml:space="preserve">factors that are also discussed later in our testimony, </w:t>
      </w:r>
      <w:r w:rsidR="00140B9A">
        <w:t>such as Tax Reform Act savings and reduction</w:t>
      </w:r>
      <w:r w:rsidR="00AF4938">
        <w:t>s</w:t>
      </w:r>
      <w:r w:rsidR="00140B9A">
        <w:t xml:space="preserve"> in O&amp;M</w:t>
      </w:r>
      <w:r w:rsidR="00501D57">
        <w:t xml:space="preserve"> expenses</w:t>
      </w:r>
      <w:r w:rsidR="00140B9A">
        <w:t>.</w:t>
      </w:r>
      <w:r w:rsidR="00AF4938">
        <w:t xml:space="preserve">  </w:t>
      </w:r>
      <w:r>
        <w:rPr>
          <w:rFonts w:eastAsia="Times New Roman"/>
          <w:lang w:eastAsia="en-US"/>
        </w:rPr>
        <w:t>As shown below</w:t>
      </w:r>
      <w:r w:rsidR="008C2817">
        <w:rPr>
          <w:rFonts w:eastAsia="Times New Roman"/>
          <w:lang w:eastAsia="en-US"/>
        </w:rPr>
        <w:t xml:space="preserve"> in Table 1</w:t>
      </w:r>
      <w:r w:rsidR="0004283A">
        <w:rPr>
          <w:rFonts w:eastAsia="Times New Roman"/>
          <w:lang w:eastAsia="en-US"/>
        </w:rPr>
        <w:t>,</w:t>
      </w:r>
      <w:r w:rsidR="0013071F">
        <w:rPr>
          <w:rFonts w:eastAsia="Times New Roman"/>
          <w:lang w:eastAsia="en-US"/>
        </w:rPr>
        <w:t xml:space="preserve"> </w:t>
      </w:r>
      <w:r w:rsidRPr="003327C4">
        <w:t>the Company requests</w:t>
      </w:r>
      <w:r w:rsidR="001D5070">
        <w:t xml:space="preserve"> </w:t>
      </w:r>
      <w:r>
        <w:t>increase</w:t>
      </w:r>
      <w:r w:rsidR="001D5070">
        <w:t>s</w:t>
      </w:r>
      <w:r w:rsidRPr="003327C4">
        <w:t xml:space="preserve"> </w:t>
      </w:r>
      <w:r>
        <w:t xml:space="preserve">of </w:t>
      </w:r>
      <w:r w:rsidRPr="003327C4">
        <w:t>$563 million</w:t>
      </w:r>
      <w:r>
        <w:t>, $145 million, and $234 million</w:t>
      </w:r>
      <w:r w:rsidRPr="003327C4">
        <w:t xml:space="preserve"> to be effective January 1, 2020</w:t>
      </w:r>
      <w:r>
        <w:t xml:space="preserve">, </w:t>
      </w:r>
      <w:r w:rsidRPr="003327C4">
        <w:t>January 1, 202</w:t>
      </w:r>
      <w:r w:rsidR="00972C27">
        <w:t>1</w:t>
      </w:r>
      <w:r>
        <w:t xml:space="preserve"> and </w:t>
      </w:r>
      <w:r w:rsidRPr="003327C4">
        <w:t>January 1, 202</w:t>
      </w:r>
      <w:r w:rsidR="00972C27">
        <w:t>2</w:t>
      </w:r>
      <w:r>
        <w:t>, respectively</w:t>
      </w:r>
      <w:r w:rsidRPr="003327C4">
        <w:t>.</w:t>
      </w:r>
      <w:r w:rsidR="00363BA0">
        <w:br w:type="page"/>
      </w:r>
    </w:p>
    <w:p w14:paraId="02CEA543" w14:textId="77777777" w:rsidR="00901394" w:rsidRPr="00AB41F9" w:rsidRDefault="00901394" w:rsidP="008E5258">
      <w:pPr>
        <w:pStyle w:val="BodyText"/>
        <w:keepNext/>
        <w:spacing w:before="0" w:after="0" w:line="360" w:lineRule="auto"/>
        <w:ind w:left="720" w:firstLine="0"/>
        <w:jc w:val="center"/>
        <w:rPr>
          <w:rFonts w:eastAsia="Times New Roman"/>
          <w:b/>
          <w:lang w:eastAsia="en-US"/>
        </w:rPr>
      </w:pPr>
      <w:r w:rsidRPr="00AB41F9">
        <w:rPr>
          <w:rFonts w:eastAsia="Times New Roman"/>
          <w:b/>
          <w:lang w:eastAsia="en-US"/>
        </w:rPr>
        <w:lastRenderedPageBreak/>
        <w:t xml:space="preserve">Table </w:t>
      </w:r>
      <w:r w:rsidR="008C2817">
        <w:rPr>
          <w:rFonts w:eastAsia="Times New Roman"/>
          <w:b/>
          <w:lang w:eastAsia="en-US"/>
        </w:rPr>
        <w:t>1</w:t>
      </w:r>
      <w:r w:rsidRPr="00AB41F9">
        <w:rPr>
          <w:rFonts w:eastAsia="Times New Roman"/>
          <w:b/>
          <w:lang w:eastAsia="en-US"/>
        </w:rPr>
        <w:t>: Proposed Rate Adjustment</w:t>
      </w:r>
      <w:r w:rsidR="00021F7A">
        <w:rPr>
          <w:rFonts w:eastAsia="Times New Roman"/>
          <w:b/>
          <w:lang w:eastAsia="en-US"/>
        </w:rPr>
        <w:t>s</w:t>
      </w:r>
      <w:r w:rsidR="000E2673">
        <w:rPr>
          <w:rFonts w:eastAsia="Times New Roman"/>
          <w:b/>
          <w:lang w:eastAsia="en-US"/>
        </w:rPr>
        <w:t xml:space="preserve"> (in millions)</w:t>
      </w:r>
    </w:p>
    <w:tbl>
      <w:tblPr>
        <w:tblStyle w:val="TableGrid"/>
        <w:tblW w:w="8280" w:type="dxa"/>
        <w:tblInd w:w="895" w:type="dxa"/>
        <w:tblLook w:val="04A0" w:firstRow="1" w:lastRow="0" w:firstColumn="1" w:lastColumn="0" w:noHBand="0" w:noVBand="1"/>
      </w:tblPr>
      <w:tblGrid>
        <w:gridCol w:w="2160"/>
        <w:gridCol w:w="1980"/>
        <w:gridCol w:w="1980"/>
        <w:gridCol w:w="2160"/>
      </w:tblGrid>
      <w:tr w:rsidR="00021F7A" w14:paraId="3DDA531A" w14:textId="77777777" w:rsidTr="00462776">
        <w:tc>
          <w:tcPr>
            <w:tcW w:w="2160" w:type="dxa"/>
            <w:tcBorders>
              <w:bottom w:val="single" w:sz="12" w:space="0" w:color="auto"/>
            </w:tcBorders>
            <w:vAlign w:val="center"/>
          </w:tcPr>
          <w:p w14:paraId="4CA6A453" w14:textId="77777777" w:rsidR="00901394" w:rsidRDefault="00901394" w:rsidP="00E65C3D">
            <w:pPr>
              <w:pStyle w:val="BodyText"/>
              <w:keepNext/>
              <w:spacing w:before="0" w:after="0"/>
              <w:ind w:firstLine="0"/>
              <w:jc w:val="left"/>
              <w:rPr>
                <w:rFonts w:eastAsia="Times New Roman"/>
                <w:lang w:eastAsia="en-US"/>
              </w:rPr>
            </w:pPr>
            <w:bookmarkStart w:id="5" w:name="_Hlk11514077"/>
            <w:r>
              <w:rPr>
                <w:rFonts w:eastAsia="Times New Roman"/>
                <w:lang w:eastAsia="en-US"/>
              </w:rPr>
              <w:t>Effective Date</w:t>
            </w:r>
          </w:p>
        </w:tc>
        <w:tc>
          <w:tcPr>
            <w:tcW w:w="1980" w:type="dxa"/>
            <w:tcBorders>
              <w:bottom w:val="single" w:sz="12" w:space="0" w:color="auto"/>
            </w:tcBorders>
            <w:vAlign w:val="center"/>
          </w:tcPr>
          <w:p w14:paraId="2FFAEBB5" w14:textId="77777777" w:rsidR="00901394" w:rsidRPr="00452DFA" w:rsidRDefault="00021F7A" w:rsidP="00E65C3D">
            <w:pPr>
              <w:pStyle w:val="BodyText"/>
              <w:keepNext/>
              <w:spacing w:before="0" w:after="0"/>
              <w:ind w:firstLine="0"/>
              <w:jc w:val="right"/>
              <w:rPr>
                <w:rFonts w:eastAsia="Times New Roman"/>
                <w:b/>
                <w:lang w:eastAsia="en-US"/>
              </w:rPr>
            </w:pPr>
            <w:r>
              <w:rPr>
                <w:rFonts w:eastAsia="Times New Roman"/>
                <w:b/>
                <w:lang w:eastAsia="en-US"/>
              </w:rPr>
              <w:t xml:space="preserve">January 1, </w:t>
            </w:r>
            <w:r w:rsidR="00901394" w:rsidRPr="00452DFA">
              <w:rPr>
                <w:rFonts w:eastAsia="Times New Roman"/>
                <w:b/>
                <w:lang w:eastAsia="en-US"/>
              </w:rPr>
              <w:t>2020</w:t>
            </w:r>
          </w:p>
        </w:tc>
        <w:tc>
          <w:tcPr>
            <w:tcW w:w="1980" w:type="dxa"/>
            <w:tcBorders>
              <w:bottom w:val="single" w:sz="12" w:space="0" w:color="auto"/>
            </w:tcBorders>
            <w:vAlign w:val="center"/>
          </w:tcPr>
          <w:p w14:paraId="48314A48" w14:textId="77777777" w:rsidR="00901394" w:rsidRPr="00452DFA" w:rsidRDefault="00462776" w:rsidP="00E65C3D">
            <w:pPr>
              <w:pStyle w:val="BodyText"/>
              <w:keepNext/>
              <w:spacing w:before="0" w:after="0"/>
              <w:ind w:firstLine="0"/>
              <w:jc w:val="right"/>
              <w:rPr>
                <w:rFonts w:eastAsia="Times New Roman"/>
                <w:b/>
                <w:lang w:eastAsia="en-US"/>
              </w:rPr>
            </w:pPr>
            <w:r>
              <w:rPr>
                <w:rFonts w:eastAsia="Times New Roman"/>
                <w:b/>
                <w:lang w:eastAsia="en-US"/>
              </w:rPr>
              <w:t xml:space="preserve">January 1, </w:t>
            </w:r>
            <w:r w:rsidR="00901394" w:rsidRPr="00452DFA">
              <w:rPr>
                <w:rFonts w:eastAsia="Times New Roman"/>
                <w:b/>
                <w:lang w:eastAsia="en-US"/>
              </w:rPr>
              <w:t>2021</w:t>
            </w:r>
          </w:p>
        </w:tc>
        <w:tc>
          <w:tcPr>
            <w:tcW w:w="2160" w:type="dxa"/>
            <w:tcBorders>
              <w:bottom w:val="single" w:sz="12" w:space="0" w:color="auto"/>
            </w:tcBorders>
            <w:vAlign w:val="center"/>
          </w:tcPr>
          <w:p w14:paraId="25FB8998" w14:textId="77777777" w:rsidR="00901394" w:rsidRPr="00452DFA" w:rsidRDefault="00462776" w:rsidP="00E65C3D">
            <w:pPr>
              <w:pStyle w:val="BodyText"/>
              <w:keepNext/>
              <w:spacing w:before="0" w:after="0"/>
              <w:ind w:firstLine="0"/>
              <w:jc w:val="right"/>
              <w:rPr>
                <w:rFonts w:eastAsia="Times New Roman"/>
                <w:b/>
                <w:lang w:eastAsia="en-US"/>
              </w:rPr>
            </w:pPr>
            <w:r>
              <w:rPr>
                <w:rFonts w:eastAsia="Times New Roman"/>
                <w:b/>
                <w:lang w:eastAsia="en-US"/>
              </w:rPr>
              <w:t xml:space="preserve">January 1, </w:t>
            </w:r>
            <w:r w:rsidR="00901394" w:rsidRPr="00452DFA">
              <w:rPr>
                <w:rFonts w:eastAsia="Times New Roman"/>
                <w:b/>
                <w:lang w:eastAsia="en-US"/>
              </w:rPr>
              <w:t>2022</w:t>
            </w:r>
          </w:p>
        </w:tc>
      </w:tr>
      <w:tr w:rsidR="00021F7A" w14:paraId="23A15590" w14:textId="77777777" w:rsidTr="00462776">
        <w:tc>
          <w:tcPr>
            <w:tcW w:w="2160" w:type="dxa"/>
            <w:vAlign w:val="center"/>
          </w:tcPr>
          <w:p w14:paraId="7BB2DFD6" w14:textId="77777777" w:rsidR="00901394" w:rsidRDefault="00901394" w:rsidP="00E65C3D">
            <w:pPr>
              <w:pStyle w:val="BodyText"/>
              <w:keepNext/>
              <w:spacing w:before="0" w:after="0"/>
              <w:ind w:firstLine="0"/>
              <w:jc w:val="left"/>
              <w:rPr>
                <w:rFonts w:eastAsia="Times New Roman"/>
                <w:lang w:eastAsia="en-US"/>
              </w:rPr>
            </w:pPr>
            <w:r>
              <w:rPr>
                <w:rFonts w:eastAsia="Times New Roman"/>
                <w:lang w:eastAsia="en-US"/>
              </w:rPr>
              <w:t>Traditional Base:</w:t>
            </w:r>
          </w:p>
        </w:tc>
        <w:tc>
          <w:tcPr>
            <w:tcW w:w="1980" w:type="dxa"/>
            <w:tcBorders>
              <w:bottom w:val="single" w:sz="4" w:space="0" w:color="auto"/>
            </w:tcBorders>
            <w:vAlign w:val="center"/>
          </w:tcPr>
          <w:p w14:paraId="18421B51" w14:textId="77777777" w:rsidR="00901394" w:rsidRDefault="00901394" w:rsidP="00E65C3D">
            <w:pPr>
              <w:pStyle w:val="BodyText"/>
              <w:keepNext/>
              <w:spacing w:before="0" w:after="0"/>
              <w:ind w:firstLine="0"/>
              <w:jc w:val="right"/>
              <w:rPr>
                <w:rFonts w:eastAsia="Times New Roman"/>
                <w:b/>
                <w:lang w:eastAsia="en-US"/>
              </w:rPr>
            </w:pPr>
          </w:p>
        </w:tc>
        <w:tc>
          <w:tcPr>
            <w:tcW w:w="1980" w:type="dxa"/>
            <w:tcBorders>
              <w:bottom w:val="single" w:sz="4" w:space="0" w:color="auto"/>
            </w:tcBorders>
            <w:vAlign w:val="center"/>
          </w:tcPr>
          <w:p w14:paraId="3B1EAE98" w14:textId="77777777" w:rsidR="00901394" w:rsidRDefault="00901394" w:rsidP="00E65C3D">
            <w:pPr>
              <w:pStyle w:val="BodyText"/>
              <w:keepNext/>
              <w:spacing w:before="0" w:after="0"/>
              <w:ind w:firstLine="0"/>
              <w:jc w:val="right"/>
              <w:rPr>
                <w:rFonts w:eastAsia="Times New Roman"/>
                <w:b/>
                <w:lang w:eastAsia="en-US"/>
              </w:rPr>
            </w:pPr>
          </w:p>
        </w:tc>
        <w:tc>
          <w:tcPr>
            <w:tcW w:w="2160" w:type="dxa"/>
            <w:tcBorders>
              <w:bottom w:val="single" w:sz="4" w:space="0" w:color="auto"/>
            </w:tcBorders>
            <w:vAlign w:val="center"/>
          </w:tcPr>
          <w:p w14:paraId="231CD197" w14:textId="77777777" w:rsidR="00901394" w:rsidRDefault="00901394" w:rsidP="00E65C3D">
            <w:pPr>
              <w:pStyle w:val="BodyText"/>
              <w:keepNext/>
              <w:spacing w:before="0" w:after="0"/>
              <w:ind w:firstLine="0"/>
              <w:jc w:val="right"/>
              <w:rPr>
                <w:rFonts w:eastAsia="Times New Roman"/>
                <w:b/>
                <w:lang w:eastAsia="en-US"/>
              </w:rPr>
            </w:pPr>
          </w:p>
        </w:tc>
      </w:tr>
      <w:tr w:rsidR="00021F7A" w14:paraId="0C86D754" w14:textId="77777777" w:rsidTr="00AF4938">
        <w:tc>
          <w:tcPr>
            <w:tcW w:w="2160" w:type="dxa"/>
            <w:vAlign w:val="center"/>
          </w:tcPr>
          <w:p w14:paraId="7F5C48A1" w14:textId="77777777" w:rsidR="00901394" w:rsidRDefault="000E2673" w:rsidP="00E65C3D">
            <w:pPr>
              <w:pStyle w:val="BodyText"/>
              <w:keepNext/>
              <w:spacing w:before="0" w:after="0"/>
              <w:ind w:left="308" w:firstLine="0"/>
              <w:jc w:val="left"/>
              <w:rPr>
                <w:rFonts w:eastAsia="Times New Roman"/>
                <w:lang w:eastAsia="en-US"/>
              </w:rPr>
            </w:pPr>
            <w:r>
              <w:rPr>
                <w:rFonts w:eastAsia="Times New Roman"/>
                <w:lang w:eastAsia="en-US"/>
              </w:rPr>
              <w:t>Levelized</w:t>
            </w:r>
            <w:r w:rsidR="00046498">
              <w:rPr>
                <w:rFonts w:eastAsia="Times New Roman"/>
                <w:lang w:eastAsia="en-US"/>
              </w:rPr>
              <w:t xml:space="preserve"> (a)</w:t>
            </w:r>
          </w:p>
        </w:tc>
        <w:tc>
          <w:tcPr>
            <w:tcW w:w="1980" w:type="dxa"/>
            <w:tcBorders>
              <w:bottom w:val="single" w:sz="4" w:space="0" w:color="auto"/>
            </w:tcBorders>
            <w:vAlign w:val="center"/>
          </w:tcPr>
          <w:p w14:paraId="125B4818" w14:textId="77777777" w:rsidR="00901394" w:rsidRPr="00452DFA" w:rsidRDefault="00901394" w:rsidP="00E65C3D">
            <w:pPr>
              <w:pStyle w:val="BodyText"/>
              <w:keepNext/>
              <w:spacing w:before="0" w:after="0"/>
              <w:ind w:firstLine="0"/>
              <w:jc w:val="right"/>
              <w:rPr>
                <w:rFonts w:eastAsia="Times New Roman"/>
                <w:b/>
                <w:lang w:eastAsia="en-US"/>
              </w:rPr>
            </w:pPr>
            <w:r>
              <w:rPr>
                <w:rFonts w:eastAsia="Times New Roman"/>
                <w:lang w:eastAsia="en-US"/>
              </w:rPr>
              <w:t>$209</w:t>
            </w:r>
          </w:p>
        </w:tc>
        <w:tc>
          <w:tcPr>
            <w:tcW w:w="1980" w:type="dxa"/>
            <w:tcBorders>
              <w:bottom w:val="single" w:sz="4" w:space="0" w:color="auto"/>
            </w:tcBorders>
            <w:shd w:val="clear" w:color="auto" w:fill="auto"/>
            <w:vAlign w:val="center"/>
          </w:tcPr>
          <w:p w14:paraId="52E98115" w14:textId="5A7A7AD6" w:rsidR="00901394" w:rsidRPr="00AF4938" w:rsidRDefault="00AF4938" w:rsidP="00E65C3D">
            <w:pPr>
              <w:pStyle w:val="BodyText"/>
              <w:keepNext/>
              <w:spacing w:before="0" w:after="0"/>
              <w:ind w:firstLine="0"/>
              <w:jc w:val="right"/>
              <w:rPr>
                <w:rFonts w:eastAsia="Times New Roman"/>
                <w:lang w:eastAsia="en-US"/>
              </w:rPr>
            </w:pPr>
            <w:r w:rsidRPr="00AF4938">
              <w:rPr>
                <w:rFonts w:eastAsia="Times New Roman"/>
                <w:lang w:eastAsia="en-US"/>
              </w:rPr>
              <w:t>$0</w:t>
            </w:r>
          </w:p>
        </w:tc>
        <w:tc>
          <w:tcPr>
            <w:tcW w:w="2160" w:type="dxa"/>
            <w:tcBorders>
              <w:bottom w:val="single" w:sz="4" w:space="0" w:color="auto"/>
            </w:tcBorders>
            <w:shd w:val="clear" w:color="auto" w:fill="auto"/>
            <w:vAlign w:val="center"/>
          </w:tcPr>
          <w:p w14:paraId="6309DD97" w14:textId="66BDDBCD" w:rsidR="00901394" w:rsidRPr="00AF4938" w:rsidRDefault="00AF4938" w:rsidP="00E65C3D">
            <w:pPr>
              <w:pStyle w:val="BodyText"/>
              <w:keepNext/>
              <w:spacing w:before="0" w:after="0"/>
              <w:ind w:firstLine="0"/>
              <w:jc w:val="right"/>
              <w:rPr>
                <w:rFonts w:eastAsia="Times New Roman"/>
                <w:lang w:eastAsia="en-US"/>
              </w:rPr>
            </w:pPr>
            <w:r w:rsidRPr="00AF4938">
              <w:rPr>
                <w:rFonts w:eastAsia="Times New Roman"/>
                <w:lang w:eastAsia="en-US"/>
              </w:rPr>
              <w:t>$0</w:t>
            </w:r>
          </w:p>
        </w:tc>
      </w:tr>
      <w:tr w:rsidR="00021F7A" w14:paraId="3B7A6949" w14:textId="77777777" w:rsidTr="00462776">
        <w:tc>
          <w:tcPr>
            <w:tcW w:w="2160" w:type="dxa"/>
            <w:tcBorders>
              <w:bottom w:val="single" w:sz="4" w:space="0" w:color="auto"/>
            </w:tcBorders>
            <w:vAlign w:val="center"/>
          </w:tcPr>
          <w:p w14:paraId="2BFF7374" w14:textId="77777777" w:rsidR="00901394" w:rsidRDefault="000E2673" w:rsidP="00E65C3D">
            <w:pPr>
              <w:pStyle w:val="BodyText"/>
              <w:keepNext/>
              <w:spacing w:before="0" w:after="0"/>
              <w:ind w:left="308" w:firstLine="0"/>
              <w:jc w:val="left"/>
              <w:rPr>
                <w:rFonts w:eastAsia="Times New Roman"/>
                <w:lang w:eastAsia="en-US"/>
              </w:rPr>
            </w:pPr>
            <w:r>
              <w:rPr>
                <w:rFonts w:eastAsia="Times New Roman"/>
                <w:lang w:eastAsia="en-US"/>
              </w:rPr>
              <w:t>CCR ARO</w:t>
            </w:r>
            <w:r w:rsidR="00046498">
              <w:rPr>
                <w:rFonts w:eastAsia="Times New Roman"/>
                <w:lang w:eastAsia="en-US"/>
              </w:rPr>
              <w:t xml:space="preserve"> (b)</w:t>
            </w:r>
          </w:p>
        </w:tc>
        <w:tc>
          <w:tcPr>
            <w:tcW w:w="1980" w:type="dxa"/>
            <w:tcBorders>
              <w:bottom w:val="single" w:sz="4" w:space="0" w:color="auto"/>
            </w:tcBorders>
            <w:vAlign w:val="center"/>
          </w:tcPr>
          <w:p w14:paraId="01FCFCFD"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158</w:t>
            </w:r>
          </w:p>
        </w:tc>
        <w:tc>
          <w:tcPr>
            <w:tcW w:w="1980" w:type="dxa"/>
            <w:tcBorders>
              <w:bottom w:val="single" w:sz="4" w:space="0" w:color="auto"/>
            </w:tcBorders>
            <w:shd w:val="clear" w:color="auto" w:fill="FFFFFF" w:themeFill="background1"/>
            <w:vAlign w:val="center"/>
          </w:tcPr>
          <w:p w14:paraId="61823333" w14:textId="3267ED70" w:rsidR="00901394" w:rsidRPr="00452DFA" w:rsidRDefault="00291780" w:rsidP="00E65C3D">
            <w:pPr>
              <w:pStyle w:val="BodyText"/>
              <w:keepNext/>
              <w:spacing w:before="0" w:after="0"/>
              <w:ind w:firstLine="0"/>
              <w:jc w:val="right"/>
              <w:rPr>
                <w:rFonts w:eastAsia="Times New Roman"/>
                <w:b/>
                <w:lang w:eastAsia="en-US"/>
              </w:rPr>
            </w:pPr>
            <w:r>
              <w:rPr>
                <w:rFonts w:eastAsia="Times New Roman"/>
                <w:lang w:eastAsia="en-US"/>
              </w:rPr>
              <w:t>140</w:t>
            </w:r>
          </w:p>
        </w:tc>
        <w:tc>
          <w:tcPr>
            <w:tcW w:w="2160" w:type="dxa"/>
            <w:tcBorders>
              <w:bottom w:val="single" w:sz="4" w:space="0" w:color="auto"/>
            </w:tcBorders>
            <w:shd w:val="clear" w:color="auto" w:fill="FFFFFF" w:themeFill="background1"/>
            <w:vAlign w:val="center"/>
          </w:tcPr>
          <w:p w14:paraId="5AF31BB2" w14:textId="580CBCF3" w:rsidR="00901394" w:rsidRPr="00452DFA" w:rsidRDefault="00C87209" w:rsidP="00E65C3D">
            <w:pPr>
              <w:pStyle w:val="BodyText"/>
              <w:keepNext/>
              <w:spacing w:before="0" w:after="0"/>
              <w:ind w:firstLine="0"/>
              <w:jc w:val="right"/>
              <w:rPr>
                <w:rFonts w:eastAsia="Times New Roman"/>
                <w:b/>
                <w:lang w:eastAsia="en-US"/>
              </w:rPr>
            </w:pPr>
            <w:r>
              <w:rPr>
                <w:rFonts w:eastAsia="Times New Roman"/>
                <w:lang w:eastAsia="en-US"/>
              </w:rPr>
              <w:t>227</w:t>
            </w:r>
          </w:p>
        </w:tc>
      </w:tr>
      <w:tr w:rsidR="00021F7A" w14:paraId="4C8AD8CE" w14:textId="77777777" w:rsidTr="00AF4938">
        <w:trPr>
          <w:trHeight w:val="314"/>
        </w:trPr>
        <w:tc>
          <w:tcPr>
            <w:tcW w:w="2160" w:type="dxa"/>
            <w:tcBorders>
              <w:top w:val="single" w:sz="4" w:space="0" w:color="auto"/>
            </w:tcBorders>
            <w:vAlign w:val="center"/>
          </w:tcPr>
          <w:p w14:paraId="6225E564" w14:textId="77777777" w:rsidR="00901394" w:rsidRDefault="00901394" w:rsidP="00E65C3D">
            <w:pPr>
              <w:pStyle w:val="BodyText"/>
              <w:keepNext/>
              <w:spacing w:before="0" w:after="0"/>
              <w:ind w:firstLine="0"/>
              <w:jc w:val="left"/>
              <w:rPr>
                <w:rFonts w:eastAsia="Times New Roman"/>
                <w:lang w:eastAsia="en-US"/>
              </w:rPr>
            </w:pPr>
            <w:r>
              <w:rPr>
                <w:rFonts w:eastAsia="Times New Roman"/>
                <w:lang w:eastAsia="en-US"/>
              </w:rPr>
              <w:t xml:space="preserve">ECCR </w:t>
            </w:r>
            <w:r w:rsidR="00046498">
              <w:rPr>
                <w:rFonts w:eastAsia="Times New Roman"/>
                <w:lang w:eastAsia="en-US"/>
              </w:rPr>
              <w:t>(c)</w:t>
            </w:r>
          </w:p>
        </w:tc>
        <w:tc>
          <w:tcPr>
            <w:tcW w:w="1980" w:type="dxa"/>
            <w:tcBorders>
              <w:top w:val="single" w:sz="4" w:space="0" w:color="auto"/>
            </w:tcBorders>
            <w:vAlign w:val="center"/>
          </w:tcPr>
          <w:p w14:paraId="62DE1F4B"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165</w:t>
            </w:r>
          </w:p>
        </w:tc>
        <w:tc>
          <w:tcPr>
            <w:tcW w:w="1980" w:type="dxa"/>
            <w:tcBorders>
              <w:top w:val="single" w:sz="4" w:space="0" w:color="auto"/>
            </w:tcBorders>
            <w:shd w:val="clear" w:color="auto" w:fill="auto"/>
            <w:vAlign w:val="center"/>
          </w:tcPr>
          <w:p w14:paraId="7E6364A6" w14:textId="7A4E2EEB" w:rsidR="00901394" w:rsidRPr="001D5070" w:rsidRDefault="001D5070" w:rsidP="00E65C3D">
            <w:pPr>
              <w:pStyle w:val="BodyText"/>
              <w:keepNext/>
              <w:spacing w:before="0" w:after="0"/>
              <w:ind w:firstLine="0"/>
              <w:jc w:val="right"/>
              <w:rPr>
                <w:rFonts w:eastAsia="Times New Roman"/>
                <w:lang w:eastAsia="en-US"/>
              </w:rPr>
            </w:pPr>
            <w:r>
              <w:rPr>
                <w:rFonts w:eastAsia="Times New Roman"/>
                <w:lang w:eastAsia="en-US"/>
              </w:rPr>
              <w:t>0</w:t>
            </w:r>
          </w:p>
        </w:tc>
        <w:tc>
          <w:tcPr>
            <w:tcW w:w="2160" w:type="dxa"/>
            <w:tcBorders>
              <w:top w:val="single" w:sz="4" w:space="0" w:color="auto"/>
            </w:tcBorders>
            <w:shd w:val="clear" w:color="auto" w:fill="auto"/>
            <w:vAlign w:val="center"/>
          </w:tcPr>
          <w:p w14:paraId="46191D6E" w14:textId="246AF43E" w:rsidR="00901394" w:rsidRPr="001D5070" w:rsidRDefault="001D5070" w:rsidP="00E65C3D">
            <w:pPr>
              <w:pStyle w:val="BodyText"/>
              <w:keepNext/>
              <w:spacing w:before="0" w:after="0"/>
              <w:ind w:firstLine="0"/>
              <w:jc w:val="right"/>
              <w:rPr>
                <w:rFonts w:eastAsia="Times New Roman"/>
                <w:lang w:eastAsia="en-US"/>
              </w:rPr>
            </w:pPr>
            <w:r>
              <w:rPr>
                <w:rFonts w:eastAsia="Times New Roman"/>
                <w:lang w:eastAsia="en-US"/>
              </w:rPr>
              <w:t>0</w:t>
            </w:r>
          </w:p>
        </w:tc>
      </w:tr>
      <w:tr w:rsidR="00021F7A" w14:paraId="11EBDC47" w14:textId="77777777" w:rsidTr="00462776">
        <w:tc>
          <w:tcPr>
            <w:tcW w:w="2160" w:type="dxa"/>
            <w:vAlign w:val="center"/>
          </w:tcPr>
          <w:p w14:paraId="05AC3A7F" w14:textId="77777777" w:rsidR="00901394" w:rsidRDefault="00901394" w:rsidP="00E65C3D">
            <w:pPr>
              <w:pStyle w:val="BodyText"/>
              <w:keepNext/>
              <w:spacing w:before="0" w:after="0"/>
              <w:ind w:firstLine="0"/>
              <w:jc w:val="left"/>
              <w:rPr>
                <w:rFonts w:eastAsia="Times New Roman"/>
                <w:lang w:eastAsia="en-US"/>
              </w:rPr>
            </w:pPr>
            <w:r>
              <w:rPr>
                <w:rFonts w:eastAsia="Times New Roman"/>
                <w:lang w:eastAsia="en-US"/>
              </w:rPr>
              <w:t xml:space="preserve">DSM* </w:t>
            </w:r>
            <w:r w:rsidR="00046498">
              <w:rPr>
                <w:rFonts w:eastAsia="Times New Roman"/>
                <w:lang w:eastAsia="en-US"/>
              </w:rPr>
              <w:t>(d)</w:t>
            </w:r>
          </w:p>
        </w:tc>
        <w:tc>
          <w:tcPr>
            <w:tcW w:w="1980" w:type="dxa"/>
            <w:vAlign w:val="center"/>
          </w:tcPr>
          <w:p w14:paraId="3B4CBD94"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14</w:t>
            </w:r>
          </w:p>
        </w:tc>
        <w:tc>
          <w:tcPr>
            <w:tcW w:w="1980" w:type="dxa"/>
            <w:shd w:val="clear" w:color="auto" w:fill="FFFFFF" w:themeFill="background1"/>
            <w:vAlign w:val="center"/>
          </w:tcPr>
          <w:p w14:paraId="0A11AD63"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2</w:t>
            </w:r>
          </w:p>
        </w:tc>
        <w:tc>
          <w:tcPr>
            <w:tcW w:w="2160" w:type="dxa"/>
            <w:shd w:val="clear" w:color="auto" w:fill="FFFFFF" w:themeFill="background1"/>
            <w:vAlign w:val="center"/>
          </w:tcPr>
          <w:p w14:paraId="6335618A"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1</w:t>
            </w:r>
          </w:p>
        </w:tc>
      </w:tr>
      <w:tr w:rsidR="00021F7A" w14:paraId="27C1736E" w14:textId="77777777" w:rsidTr="00462776">
        <w:tc>
          <w:tcPr>
            <w:tcW w:w="2160" w:type="dxa"/>
            <w:tcBorders>
              <w:bottom w:val="single" w:sz="12" w:space="0" w:color="auto"/>
            </w:tcBorders>
            <w:vAlign w:val="center"/>
          </w:tcPr>
          <w:p w14:paraId="206E4DE9" w14:textId="77777777" w:rsidR="00901394" w:rsidRDefault="00901394" w:rsidP="00E65C3D">
            <w:pPr>
              <w:pStyle w:val="BodyText"/>
              <w:keepNext/>
              <w:spacing w:before="0" w:after="0"/>
              <w:ind w:firstLine="0"/>
              <w:jc w:val="left"/>
              <w:rPr>
                <w:rFonts w:eastAsia="Times New Roman"/>
                <w:lang w:eastAsia="en-US"/>
              </w:rPr>
            </w:pPr>
            <w:r>
              <w:rPr>
                <w:rFonts w:eastAsia="Times New Roman"/>
                <w:lang w:eastAsia="en-US"/>
              </w:rPr>
              <w:t>MFF</w:t>
            </w:r>
            <w:r w:rsidR="00046498">
              <w:rPr>
                <w:rFonts w:eastAsia="Times New Roman"/>
                <w:lang w:eastAsia="en-US"/>
              </w:rPr>
              <w:t xml:space="preserve"> (e)</w:t>
            </w:r>
          </w:p>
        </w:tc>
        <w:tc>
          <w:tcPr>
            <w:tcW w:w="1980" w:type="dxa"/>
            <w:tcBorders>
              <w:bottom w:val="single" w:sz="12" w:space="0" w:color="auto"/>
            </w:tcBorders>
            <w:vAlign w:val="center"/>
          </w:tcPr>
          <w:p w14:paraId="42AFAD60" w14:textId="77777777" w:rsidR="00901394" w:rsidRDefault="00462776" w:rsidP="00E65C3D">
            <w:pPr>
              <w:pStyle w:val="BodyText"/>
              <w:keepNext/>
              <w:spacing w:before="0" w:after="0"/>
              <w:ind w:firstLine="0"/>
              <w:jc w:val="right"/>
              <w:rPr>
                <w:rFonts w:eastAsia="Times New Roman"/>
                <w:lang w:eastAsia="en-US"/>
              </w:rPr>
            </w:pPr>
            <w:r>
              <w:rPr>
                <w:rFonts w:eastAsia="Times New Roman"/>
                <w:lang w:eastAsia="en-US"/>
              </w:rPr>
              <w:t>1</w:t>
            </w:r>
            <w:r w:rsidR="00901394">
              <w:rPr>
                <w:rFonts w:eastAsia="Times New Roman"/>
                <w:lang w:eastAsia="en-US"/>
              </w:rPr>
              <w:t>7</w:t>
            </w:r>
          </w:p>
        </w:tc>
        <w:tc>
          <w:tcPr>
            <w:tcW w:w="1980" w:type="dxa"/>
            <w:tcBorders>
              <w:bottom w:val="single" w:sz="12" w:space="0" w:color="auto"/>
            </w:tcBorders>
            <w:shd w:val="clear" w:color="auto" w:fill="FFFFFF" w:themeFill="background1"/>
            <w:vAlign w:val="center"/>
          </w:tcPr>
          <w:p w14:paraId="689B0B86"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3</w:t>
            </w:r>
          </w:p>
        </w:tc>
        <w:tc>
          <w:tcPr>
            <w:tcW w:w="2160" w:type="dxa"/>
            <w:tcBorders>
              <w:bottom w:val="single" w:sz="12" w:space="0" w:color="auto"/>
            </w:tcBorders>
            <w:shd w:val="clear" w:color="auto" w:fill="FFFFFF" w:themeFill="background1"/>
            <w:vAlign w:val="center"/>
          </w:tcPr>
          <w:p w14:paraId="1F15F0BE" w14:textId="77777777" w:rsidR="00901394" w:rsidRDefault="00901394" w:rsidP="00E65C3D">
            <w:pPr>
              <w:pStyle w:val="BodyText"/>
              <w:keepNext/>
              <w:spacing w:before="0" w:after="0"/>
              <w:ind w:firstLine="0"/>
              <w:jc w:val="right"/>
              <w:rPr>
                <w:rFonts w:eastAsia="Times New Roman"/>
                <w:lang w:eastAsia="en-US"/>
              </w:rPr>
            </w:pPr>
            <w:r>
              <w:rPr>
                <w:rFonts w:eastAsia="Times New Roman"/>
                <w:lang w:eastAsia="en-US"/>
              </w:rPr>
              <w:t>5</w:t>
            </w:r>
          </w:p>
        </w:tc>
      </w:tr>
      <w:tr w:rsidR="00021F7A" w14:paraId="148890E1" w14:textId="77777777" w:rsidTr="00462776">
        <w:tc>
          <w:tcPr>
            <w:tcW w:w="2160" w:type="dxa"/>
            <w:tcBorders>
              <w:top w:val="single" w:sz="12" w:space="0" w:color="auto"/>
            </w:tcBorders>
            <w:vAlign w:val="center"/>
          </w:tcPr>
          <w:p w14:paraId="43760499" w14:textId="77777777" w:rsidR="00901394" w:rsidRPr="00F91C82" w:rsidRDefault="00901394" w:rsidP="00E65C3D">
            <w:pPr>
              <w:pStyle w:val="BodyText"/>
              <w:keepNext/>
              <w:spacing w:before="0" w:after="0"/>
              <w:ind w:firstLine="0"/>
              <w:jc w:val="left"/>
              <w:rPr>
                <w:rFonts w:eastAsia="Times New Roman"/>
                <w:b/>
                <w:lang w:eastAsia="en-US"/>
              </w:rPr>
            </w:pPr>
            <w:r w:rsidRPr="00F91C82">
              <w:rPr>
                <w:rFonts w:eastAsia="Times New Roman"/>
                <w:b/>
                <w:lang w:eastAsia="en-US"/>
              </w:rPr>
              <w:t>Total ($)</w:t>
            </w:r>
          </w:p>
        </w:tc>
        <w:tc>
          <w:tcPr>
            <w:tcW w:w="1980" w:type="dxa"/>
            <w:tcBorders>
              <w:top w:val="single" w:sz="12" w:space="0" w:color="auto"/>
            </w:tcBorders>
            <w:vAlign w:val="center"/>
          </w:tcPr>
          <w:p w14:paraId="219B3FEB" w14:textId="77777777" w:rsidR="00901394" w:rsidRPr="00F91C82" w:rsidRDefault="00901394" w:rsidP="00E65C3D">
            <w:pPr>
              <w:pStyle w:val="BodyText"/>
              <w:keepNext/>
              <w:spacing w:before="0" w:after="0"/>
              <w:ind w:firstLine="0"/>
              <w:jc w:val="right"/>
              <w:rPr>
                <w:rFonts w:eastAsia="Times New Roman"/>
                <w:b/>
                <w:lang w:eastAsia="en-US"/>
              </w:rPr>
            </w:pPr>
            <w:r w:rsidRPr="00F91C82">
              <w:rPr>
                <w:rFonts w:eastAsia="Times New Roman"/>
                <w:b/>
                <w:lang w:eastAsia="en-US"/>
              </w:rPr>
              <w:t>$563</w:t>
            </w:r>
          </w:p>
        </w:tc>
        <w:tc>
          <w:tcPr>
            <w:tcW w:w="1980" w:type="dxa"/>
            <w:tcBorders>
              <w:top w:val="single" w:sz="12" w:space="0" w:color="auto"/>
            </w:tcBorders>
            <w:vAlign w:val="center"/>
          </w:tcPr>
          <w:p w14:paraId="5BEFE825" w14:textId="77777777" w:rsidR="00901394" w:rsidRPr="00F91C82" w:rsidRDefault="00901394" w:rsidP="00E65C3D">
            <w:pPr>
              <w:pStyle w:val="BodyText"/>
              <w:keepNext/>
              <w:spacing w:before="0" w:after="0"/>
              <w:ind w:firstLine="0"/>
              <w:jc w:val="right"/>
              <w:rPr>
                <w:rFonts w:eastAsia="Times New Roman"/>
                <w:b/>
                <w:lang w:eastAsia="en-US"/>
              </w:rPr>
            </w:pPr>
            <w:r w:rsidRPr="00F91C82">
              <w:rPr>
                <w:rFonts w:eastAsia="Times New Roman"/>
                <w:b/>
                <w:lang w:eastAsia="en-US"/>
              </w:rPr>
              <w:t>$</w:t>
            </w:r>
            <w:r w:rsidR="00505E7D">
              <w:rPr>
                <w:rFonts w:eastAsia="Times New Roman"/>
                <w:b/>
                <w:lang w:eastAsia="en-US"/>
              </w:rPr>
              <w:t>145</w:t>
            </w:r>
          </w:p>
        </w:tc>
        <w:tc>
          <w:tcPr>
            <w:tcW w:w="2160" w:type="dxa"/>
            <w:tcBorders>
              <w:top w:val="single" w:sz="12" w:space="0" w:color="auto"/>
            </w:tcBorders>
            <w:vAlign w:val="center"/>
          </w:tcPr>
          <w:p w14:paraId="1DA9C21D" w14:textId="77777777" w:rsidR="00901394" w:rsidRPr="00F91C82" w:rsidRDefault="00901394" w:rsidP="00E65C3D">
            <w:pPr>
              <w:pStyle w:val="BodyText"/>
              <w:keepNext/>
              <w:spacing w:before="0" w:after="0"/>
              <w:ind w:firstLine="0"/>
              <w:jc w:val="right"/>
              <w:rPr>
                <w:rFonts w:eastAsia="Times New Roman"/>
                <w:b/>
                <w:lang w:eastAsia="en-US"/>
              </w:rPr>
            </w:pPr>
            <w:r w:rsidRPr="00F91C82">
              <w:rPr>
                <w:rFonts w:eastAsia="Times New Roman"/>
                <w:b/>
                <w:lang w:eastAsia="en-US"/>
              </w:rPr>
              <w:t>$</w:t>
            </w:r>
            <w:r w:rsidR="00505E7D">
              <w:rPr>
                <w:rFonts w:eastAsia="Times New Roman"/>
                <w:b/>
                <w:lang w:eastAsia="en-US"/>
              </w:rPr>
              <w:t>234</w:t>
            </w:r>
          </w:p>
        </w:tc>
      </w:tr>
    </w:tbl>
    <w:bookmarkEnd w:id="5"/>
    <w:p w14:paraId="4114F660" w14:textId="3F5EAF31" w:rsidR="001B2F07" w:rsidRDefault="00901394" w:rsidP="00377E19">
      <w:pPr>
        <w:pStyle w:val="BodyText"/>
        <w:keepNext/>
        <w:spacing w:before="0" w:after="0"/>
        <w:ind w:firstLine="0"/>
        <w:jc w:val="left"/>
        <w:rPr>
          <w:rFonts w:eastAsia="Times New Roman"/>
          <w:sz w:val="20"/>
          <w:lang w:eastAsia="en-US"/>
        </w:rPr>
      </w:pPr>
      <w:r>
        <w:rPr>
          <w:rFonts w:eastAsia="Times New Roman"/>
          <w:lang w:eastAsia="en-US"/>
        </w:rPr>
        <w:tab/>
        <w:t xml:space="preserve">   </w:t>
      </w:r>
      <w:r w:rsidRPr="00AB41F9">
        <w:rPr>
          <w:rFonts w:eastAsia="Times New Roman"/>
          <w:sz w:val="20"/>
          <w:lang w:eastAsia="en-US"/>
        </w:rPr>
        <w:t>*As determined by the Commission</w:t>
      </w:r>
      <w:r w:rsidR="001D5070">
        <w:rPr>
          <w:rFonts w:eastAsia="Times New Roman"/>
          <w:sz w:val="20"/>
          <w:lang w:eastAsia="en-US"/>
        </w:rPr>
        <w:t xml:space="preserve"> through annual DSM filings</w:t>
      </w:r>
      <w:r w:rsidR="001B2F07">
        <w:rPr>
          <w:rFonts w:eastAsia="Times New Roman"/>
          <w:sz w:val="20"/>
          <w:lang w:eastAsia="en-US"/>
        </w:rPr>
        <w:t xml:space="preserve">.  </w:t>
      </w:r>
    </w:p>
    <w:p w14:paraId="43FE2459" w14:textId="4C17BCEE" w:rsidR="00377E19" w:rsidRDefault="00377E19" w:rsidP="00377E19">
      <w:pPr>
        <w:pStyle w:val="BodyText"/>
        <w:keepNext/>
        <w:spacing w:before="0" w:after="0"/>
        <w:ind w:firstLine="0"/>
        <w:jc w:val="left"/>
        <w:rPr>
          <w:rFonts w:eastAsia="Times New Roman"/>
          <w:sz w:val="20"/>
          <w:lang w:eastAsia="en-US"/>
        </w:rPr>
      </w:pPr>
      <w:r>
        <w:rPr>
          <w:rFonts w:eastAsia="Times New Roman"/>
          <w:lang w:eastAsia="en-US"/>
        </w:rPr>
        <w:tab/>
        <w:t xml:space="preserve">   </w:t>
      </w:r>
      <w:r>
        <w:rPr>
          <w:rFonts w:eastAsia="Times New Roman"/>
          <w:sz w:val="20"/>
          <w:lang w:eastAsia="en-US"/>
        </w:rPr>
        <w:t xml:space="preserve">Note:  Amounts may not sum to total due to rounding. </w:t>
      </w:r>
    </w:p>
    <w:p w14:paraId="11BFDA7B" w14:textId="3BF869C3" w:rsidR="00377E19" w:rsidRDefault="00377E19" w:rsidP="00377E19">
      <w:pPr>
        <w:pStyle w:val="BodyText"/>
        <w:keepNext/>
        <w:spacing w:before="0" w:after="0"/>
        <w:ind w:firstLine="0"/>
        <w:jc w:val="left"/>
        <w:rPr>
          <w:rFonts w:eastAsia="Times New Roman"/>
          <w:sz w:val="20"/>
          <w:lang w:eastAsia="en-US"/>
        </w:rPr>
      </w:pPr>
      <w:r>
        <w:rPr>
          <w:rFonts w:eastAsia="Times New Roman"/>
          <w:sz w:val="20"/>
          <w:lang w:eastAsia="en-US"/>
        </w:rPr>
        <w:t xml:space="preserve"> </w:t>
      </w:r>
    </w:p>
    <w:p w14:paraId="5C3C9F0F" w14:textId="31778165" w:rsidR="00BA2381" w:rsidRDefault="001573C9" w:rsidP="002D2291">
      <w:pPr>
        <w:pStyle w:val="BodyText"/>
        <w:keepNext/>
        <w:spacing w:before="0" w:after="0"/>
        <w:ind w:left="1440" w:firstLine="0"/>
        <w:jc w:val="left"/>
        <w:rPr>
          <w:rFonts w:eastAsia="Times New Roman"/>
          <w:i/>
          <w:sz w:val="20"/>
          <w:szCs w:val="20"/>
          <w:lang w:eastAsia="en-US"/>
        </w:rPr>
      </w:pPr>
      <w:r w:rsidRPr="002D2291">
        <w:rPr>
          <w:rFonts w:eastAsia="Times New Roman"/>
          <w:i/>
          <w:sz w:val="20"/>
          <w:szCs w:val="20"/>
          <w:lang w:eastAsia="en-US"/>
        </w:rPr>
        <w:t>See the following exhibits</w:t>
      </w:r>
      <w:r>
        <w:rPr>
          <w:rFonts w:eastAsia="Times New Roman"/>
          <w:i/>
          <w:sz w:val="20"/>
          <w:szCs w:val="20"/>
          <w:lang w:eastAsia="en-US"/>
        </w:rPr>
        <w:t xml:space="preserve"> supporting </w:t>
      </w:r>
      <w:r w:rsidR="00ED7E7E">
        <w:rPr>
          <w:rFonts w:eastAsia="Times New Roman"/>
          <w:i/>
          <w:sz w:val="20"/>
          <w:szCs w:val="20"/>
          <w:lang w:eastAsia="en-US"/>
        </w:rPr>
        <w:t>Table 1</w:t>
      </w:r>
      <w:r>
        <w:rPr>
          <w:rFonts w:eastAsia="Times New Roman"/>
          <w:i/>
          <w:sz w:val="20"/>
          <w:szCs w:val="20"/>
          <w:lang w:eastAsia="en-US"/>
        </w:rPr>
        <w:t xml:space="preserve">: </w:t>
      </w:r>
    </w:p>
    <w:p w14:paraId="1CAEE8A7" w14:textId="5A4176B3" w:rsidR="00BA2381" w:rsidRDefault="00046498" w:rsidP="00BA2381">
      <w:pPr>
        <w:pStyle w:val="BodyText"/>
        <w:keepNext/>
        <w:spacing w:before="0" w:after="0"/>
        <w:ind w:left="1440" w:firstLine="0"/>
        <w:jc w:val="left"/>
        <w:rPr>
          <w:rFonts w:eastAsia="Times New Roman"/>
          <w:i/>
          <w:sz w:val="20"/>
          <w:szCs w:val="20"/>
          <w:lang w:eastAsia="en-US"/>
        </w:rPr>
      </w:pPr>
      <w:r w:rsidRPr="00452F8D">
        <w:rPr>
          <w:rFonts w:eastAsia="Times New Roman"/>
          <w:sz w:val="20"/>
          <w:szCs w:val="20"/>
          <w:lang w:eastAsia="en-US"/>
        </w:rPr>
        <w:t>(</w:t>
      </w:r>
      <w:r w:rsidRPr="001573C9">
        <w:rPr>
          <w:rFonts w:eastAsia="Times New Roman"/>
          <w:sz w:val="20"/>
          <w:szCs w:val="20"/>
          <w:lang w:eastAsia="en-US"/>
        </w:rPr>
        <w:t>a)</w:t>
      </w:r>
      <w:r w:rsidRPr="001573C9">
        <w:rPr>
          <w:rFonts w:eastAsia="Times New Roman"/>
          <w:sz w:val="20"/>
          <w:szCs w:val="20"/>
          <w:lang w:eastAsia="en-US"/>
        </w:rPr>
        <w:tab/>
        <w:t>Exhibit___(DPP/SPA/MBR-1, Schedule 2 Traditional Base) Page 1</w:t>
      </w:r>
    </w:p>
    <w:p w14:paraId="7D201F36" w14:textId="0736FAC2" w:rsidR="00BA2381" w:rsidRDefault="00046498" w:rsidP="00BA2381">
      <w:pPr>
        <w:pStyle w:val="BodyText"/>
        <w:keepNext/>
        <w:spacing w:before="0" w:after="0"/>
        <w:ind w:left="1440" w:firstLine="0"/>
        <w:jc w:val="left"/>
        <w:rPr>
          <w:rFonts w:eastAsia="Times New Roman"/>
          <w:i/>
          <w:sz w:val="20"/>
          <w:szCs w:val="20"/>
          <w:lang w:eastAsia="en-US"/>
        </w:rPr>
      </w:pPr>
      <w:r w:rsidRPr="001573C9">
        <w:rPr>
          <w:rFonts w:eastAsia="Times New Roman"/>
          <w:sz w:val="20"/>
          <w:szCs w:val="20"/>
          <w:lang w:eastAsia="en-US"/>
        </w:rPr>
        <w:t>(b)</w:t>
      </w:r>
      <w:r w:rsidRPr="001573C9">
        <w:rPr>
          <w:rFonts w:eastAsia="Times New Roman"/>
          <w:sz w:val="20"/>
          <w:szCs w:val="20"/>
          <w:lang w:eastAsia="en-US"/>
        </w:rPr>
        <w:tab/>
        <w:t>Exhibit___(DPP/SPA/MBR-1, Schedule 2 Traditional Base) Page 4</w:t>
      </w:r>
      <w:r w:rsidR="001573C9">
        <w:rPr>
          <w:rFonts w:eastAsia="Times New Roman"/>
          <w:i/>
          <w:sz w:val="20"/>
          <w:szCs w:val="20"/>
          <w:lang w:eastAsia="en-US"/>
        </w:rPr>
        <w:t xml:space="preserve"> </w:t>
      </w:r>
    </w:p>
    <w:p w14:paraId="545A64EF" w14:textId="547FE799" w:rsidR="00BA2381" w:rsidRDefault="00046498" w:rsidP="002D2291">
      <w:pPr>
        <w:pStyle w:val="BodyText"/>
        <w:keepNext/>
        <w:spacing w:before="0" w:after="0"/>
        <w:ind w:left="720"/>
        <w:jc w:val="left"/>
        <w:rPr>
          <w:rFonts w:eastAsia="Times New Roman"/>
          <w:i/>
          <w:sz w:val="20"/>
          <w:szCs w:val="20"/>
          <w:lang w:eastAsia="en-US"/>
        </w:rPr>
      </w:pPr>
      <w:r w:rsidRPr="001573C9">
        <w:rPr>
          <w:rFonts w:eastAsia="Times New Roman"/>
          <w:sz w:val="20"/>
          <w:szCs w:val="20"/>
          <w:lang w:eastAsia="en-US"/>
        </w:rPr>
        <w:t>(c)</w:t>
      </w:r>
      <w:r w:rsidRPr="001573C9">
        <w:rPr>
          <w:rFonts w:eastAsia="Times New Roman"/>
          <w:sz w:val="20"/>
          <w:szCs w:val="20"/>
          <w:lang w:eastAsia="en-US"/>
        </w:rPr>
        <w:tab/>
        <w:t>Exhibit___(DPP/SPA/MBR-1, Schedule 3 ECCR) Page 1</w:t>
      </w:r>
    </w:p>
    <w:p w14:paraId="2ADF0AA7" w14:textId="4E584C2E" w:rsidR="00BA2381" w:rsidRDefault="001573C9" w:rsidP="002D2291">
      <w:pPr>
        <w:pStyle w:val="BodyText"/>
        <w:keepNext/>
        <w:spacing w:before="0" w:after="0"/>
        <w:jc w:val="left"/>
        <w:rPr>
          <w:rFonts w:eastAsia="Times New Roman"/>
          <w:i/>
          <w:sz w:val="20"/>
          <w:szCs w:val="20"/>
          <w:lang w:eastAsia="en-US"/>
        </w:rPr>
      </w:pPr>
      <w:r>
        <w:rPr>
          <w:rFonts w:eastAsia="Times New Roman"/>
          <w:i/>
          <w:sz w:val="20"/>
          <w:szCs w:val="20"/>
          <w:lang w:eastAsia="en-US"/>
        </w:rPr>
        <w:t xml:space="preserve"> </w:t>
      </w:r>
      <w:r w:rsidR="002D2291">
        <w:rPr>
          <w:rFonts w:eastAsia="Times New Roman"/>
          <w:i/>
          <w:sz w:val="20"/>
          <w:szCs w:val="20"/>
          <w:lang w:eastAsia="en-US"/>
        </w:rPr>
        <w:tab/>
      </w:r>
      <w:r w:rsidR="00046498" w:rsidRPr="001573C9">
        <w:rPr>
          <w:rFonts w:eastAsia="Times New Roman"/>
          <w:sz w:val="20"/>
          <w:szCs w:val="20"/>
          <w:lang w:eastAsia="en-US"/>
        </w:rPr>
        <w:t>(d)</w:t>
      </w:r>
      <w:r w:rsidR="00046498" w:rsidRPr="001573C9">
        <w:rPr>
          <w:rFonts w:eastAsia="Times New Roman"/>
          <w:sz w:val="20"/>
          <w:szCs w:val="20"/>
          <w:lang w:eastAsia="en-US"/>
        </w:rPr>
        <w:tab/>
        <w:t>Exhibit___(DPP/SPA/MBR-1, Schedule 4 DSM) Page 1</w:t>
      </w:r>
      <w:r>
        <w:rPr>
          <w:rFonts w:eastAsia="Times New Roman"/>
          <w:i/>
          <w:sz w:val="20"/>
          <w:szCs w:val="20"/>
          <w:lang w:eastAsia="en-US"/>
        </w:rPr>
        <w:t xml:space="preserve"> </w:t>
      </w:r>
    </w:p>
    <w:p w14:paraId="49A87CBD" w14:textId="77777777" w:rsidR="00046498" w:rsidRPr="001573C9" w:rsidRDefault="00046498" w:rsidP="002D2291">
      <w:pPr>
        <w:pStyle w:val="BodyText"/>
        <w:keepNext/>
        <w:spacing w:before="0" w:after="0"/>
        <w:ind w:left="1440" w:firstLine="0"/>
        <w:jc w:val="left"/>
        <w:rPr>
          <w:rFonts w:eastAsia="Times New Roman"/>
          <w:i/>
          <w:sz w:val="20"/>
          <w:szCs w:val="20"/>
          <w:lang w:eastAsia="en-US"/>
        </w:rPr>
      </w:pPr>
      <w:r w:rsidRPr="001573C9">
        <w:rPr>
          <w:rFonts w:eastAsia="Times New Roman"/>
          <w:sz w:val="20"/>
          <w:szCs w:val="20"/>
          <w:lang w:eastAsia="en-US"/>
        </w:rPr>
        <w:t>(e)</w:t>
      </w:r>
      <w:r w:rsidRPr="001573C9">
        <w:rPr>
          <w:rFonts w:eastAsia="Times New Roman"/>
          <w:sz w:val="20"/>
          <w:szCs w:val="20"/>
          <w:lang w:eastAsia="en-US"/>
        </w:rPr>
        <w:tab/>
        <w:t>Exhibit___(DPP/SPA/MBR-1, Schedule 5 MFF) Page 1</w:t>
      </w:r>
    </w:p>
    <w:p w14:paraId="5FC630DB" w14:textId="77777777" w:rsidR="00046498" w:rsidRDefault="00046498">
      <w:pPr>
        <w:pStyle w:val="BodyText"/>
        <w:spacing w:before="0" w:after="0" w:line="360" w:lineRule="auto"/>
        <w:ind w:left="720" w:firstLine="0"/>
        <w:rPr>
          <w:rFonts w:eastAsia="Times New Roman"/>
          <w:lang w:eastAsia="en-US"/>
        </w:rPr>
      </w:pPr>
    </w:p>
    <w:p w14:paraId="514D255D" w14:textId="4AF188F4" w:rsidR="00393A02" w:rsidRDefault="008C2817" w:rsidP="00393A02">
      <w:pPr>
        <w:pStyle w:val="BodyText"/>
        <w:spacing w:before="0" w:after="0" w:line="360" w:lineRule="auto"/>
        <w:ind w:left="720" w:firstLine="0"/>
        <w:rPr>
          <w:rFonts w:eastAsia="Times New Roman"/>
          <w:lang w:eastAsia="en-US"/>
        </w:rPr>
      </w:pPr>
      <w:r>
        <w:rPr>
          <w:rFonts w:eastAsia="Times New Roman"/>
          <w:lang w:eastAsia="en-US"/>
        </w:rPr>
        <w:t>The proposed rate adjustment includes</w:t>
      </w:r>
      <w:r w:rsidR="00901394">
        <w:rPr>
          <w:rFonts w:eastAsia="Times New Roman"/>
          <w:lang w:eastAsia="en-US"/>
        </w:rPr>
        <w:t xml:space="preserve"> a levelized increase of </w:t>
      </w:r>
      <w:r>
        <w:rPr>
          <w:rFonts w:eastAsia="Times New Roman"/>
          <w:lang w:eastAsia="en-US"/>
        </w:rPr>
        <w:t>$209 million</w:t>
      </w:r>
      <w:r w:rsidR="00901394">
        <w:rPr>
          <w:rFonts w:eastAsia="Times New Roman"/>
          <w:lang w:eastAsia="en-US"/>
        </w:rPr>
        <w:t xml:space="preserve"> of </w:t>
      </w:r>
      <w:r>
        <w:rPr>
          <w:rFonts w:eastAsia="Times New Roman"/>
          <w:lang w:eastAsia="en-US"/>
        </w:rPr>
        <w:t>t</w:t>
      </w:r>
      <w:r w:rsidR="00901394">
        <w:rPr>
          <w:rFonts w:eastAsia="Times New Roman"/>
          <w:lang w:eastAsia="en-US"/>
        </w:rPr>
        <w:t>raditional</w:t>
      </w:r>
      <w:r>
        <w:rPr>
          <w:rFonts w:eastAsia="Times New Roman"/>
          <w:lang w:eastAsia="en-US"/>
        </w:rPr>
        <w:t xml:space="preserve"> base</w:t>
      </w:r>
      <w:r w:rsidR="00653C0F">
        <w:rPr>
          <w:rFonts w:eastAsia="Times New Roman"/>
          <w:lang w:eastAsia="en-US"/>
        </w:rPr>
        <w:t xml:space="preserve"> </w:t>
      </w:r>
      <w:r w:rsidR="00901394">
        <w:rPr>
          <w:rFonts w:eastAsia="Times New Roman"/>
          <w:lang w:eastAsia="en-US"/>
        </w:rPr>
        <w:t>and</w:t>
      </w:r>
      <w:r>
        <w:rPr>
          <w:rFonts w:eastAsia="Times New Roman"/>
          <w:lang w:eastAsia="en-US"/>
        </w:rPr>
        <w:t xml:space="preserve"> a levelized increase of $165 million for</w:t>
      </w:r>
      <w:r w:rsidR="00901394">
        <w:rPr>
          <w:rFonts w:eastAsia="Times New Roman"/>
          <w:lang w:eastAsia="en-US"/>
        </w:rPr>
        <w:t xml:space="preserve"> the ECCR</w:t>
      </w:r>
      <w:r>
        <w:rPr>
          <w:rFonts w:eastAsia="Times New Roman"/>
          <w:lang w:eastAsia="en-US"/>
        </w:rPr>
        <w:t xml:space="preserve"> tariff effective January 1, 2020</w:t>
      </w:r>
      <w:r w:rsidR="00537DB9">
        <w:rPr>
          <w:rFonts w:eastAsia="Times New Roman"/>
          <w:lang w:eastAsia="en-US"/>
        </w:rPr>
        <w:t xml:space="preserve">.  </w:t>
      </w:r>
      <w:r w:rsidR="00A737EB">
        <w:rPr>
          <w:rFonts w:eastAsia="Times New Roman"/>
          <w:lang w:eastAsia="en-US"/>
        </w:rPr>
        <w:t xml:space="preserve">Except </w:t>
      </w:r>
      <w:r w:rsidR="00393A02">
        <w:rPr>
          <w:rFonts w:eastAsia="Times New Roman"/>
          <w:lang w:eastAsia="en-US"/>
        </w:rPr>
        <w:t xml:space="preserve">for </w:t>
      </w:r>
      <w:r w:rsidR="00586E87">
        <w:rPr>
          <w:rFonts w:eastAsia="Times New Roman"/>
          <w:lang w:eastAsia="en-US"/>
        </w:rPr>
        <w:t xml:space="preserve">adjustments </w:t>
      </w:r>
      <w:r w:rsidR="00233F43">
        <w:rPr>
          <w:rFonts w:eastAsia="Times New Roman"/>
          <w:lang w:eastAsia="en-US"/>
        </w:rPr>
        <w:t xml:space="preserve">to traditional base tariffs </w:t>
      </w:r>
      <w:r w:rsidR="00586E87">
        <w:rPr>
          <w:rFonts w:eastAsia="Times New Roman"/>
          <w:lang w:eastAsia="en-US"/>
        </w:rPr>
        <w:t xml:space="preserve">required in the </w:t>
      </w:r>
      <w:r w:rsidR="00A737EB">
        <w:rPr>
          <w:rFonts w:eastAsia="Times New Roman"/>
          <w:lang w:eastAsia="en-US"/>
        </w:rPr>
        <w:t>VCM-17 final order, t</w:t>
      </w:r>
      <w:r>
        <w:rPr>
          <w:rFonts w:eastAsia="Times New Roman"/>
          <w:lang w:eastAsia="en-US"/>
        </w:rPr>
        <w:t xml:space="preserve">his levelized increase of </w:t>
      </w:r>
      <w:r w:rsidR="00A737EB">
        <w:rPr>
          <w:rFonts w:eastAsia="Times New Roman"/>
          <w:lang w:eastAsia="en-US"/>
        </w:rPr>
        <w:t>$374 million will not change through December 31, 2022.</w:t>
      </w:r>
      <w:r w:rsidR="00FE7C52">
        <w:rPr>
          <w:rFonts w:eastAsia="Times New Roman"/>
          <w:lang w:eastAsia="en-US"/>
        </w:rPr>
        <w:t xml:space="preserve"> </w:t>
      </w:r>
    </w:p>
    <w:p w14:paraId="336A7523" w14:textId="77777777" w:rsidR="009E172B" w:rsidRDefault="009E172B" w:rsidP="00393A02">
      <w:pPr>
        <w:pStyle w:val="BodyText"/>
        <w:spacing w:before="0" w:after="0" w:line="360" w:lineRule="auto"/>
        <w:ind w:left="720" w:firstLine="0"/>
        <w:rPr>
          <w:rFonts w:eastAsia="Times New Roman"/>
          <w:lang w:eastAsia="en-US"/>
        </w:rPr>
      </w:pPr>
    </w:p>
    <w:p w14:paraId="5248616B" w14:textId="0DC84DB5" w:rsidR="00901394" w:rsidRDefault="00FE7C52" w:rsidP="00393A02">
      <w:pPr>
        <w:pStyle w:val="BodyText"/>
        <w:spacing w:before="0" w:after="0" w:line="360" w:lineRule="auto"/>
        <w:ind w:left="720" w:firstLine="0"/>
        <w:rPr>
          <w:rFonts w:eastAsia="Times New Roman"/>
          <w:lang w:eastAsia="en-US"/>
        </w:rPr>
      </w:pPr>
      <w:r>
        <w:rPr>
          <w:rFonts w:eastAsia="Times New Roman"/>
          <w:lang w:eastAsia="en-US"/>
        </w:rPr>
        <w:t>In each of the three years 2020 through 2022, t</w:t>
      </w:r>
      <w:r w:rsidR="00901394">
        <w:rPr>
          <w:rFonts w:eastAsia="Times New Roman"/>
          <w:lang w:eastAsia="en-US"/>
        </w:rPr>
        <w:t>he Company requests</w:t>
      </w:r>
      <w:r w:rsidR="00901394" w:rsidRPr="005F19CB">
        <w:rPr>
          <w:rFonts w:eastAsia="Times New Roman"/>
          <w:lang w:eastAsia="en-US"/>
        </w:rPr>
        <w:t xml:space="preserve"> recover</w:t>
      </w:r>
      <w:r w:rsidR="00901394">
        <w:rPr>
          <w:rFonts w:eastAsia="Times New Roman"/>
          <w:lang w:eastAsia="en-US"/>
        </w:rPr>
        <w:t>y</w:t>
      </w:r>
      <w:r>
        <w:rPr>
          <w:rFonts w:eastAsia="Times New Roman"/>
          <w:lang w:eastAsia="en-US"/>
        </w:rPr>
        <w:t xml:space="preserve"> </w:t>
      </w:r>
      <w:r w:rsidR="00901394">
        <w:rPr>
          <w:rFonts w:eastAsia="Times New Roman"/>
          <w:lang w:eastAsia="en-US"/>
        </w:rPr>
        <w:t>of</w:t>
      </w:r>
      <w:r w:rsidR="00901394" w:rsidRPr="005F19CB">
        <w:rPr>
          <w:rFonts w:eastAsia="Times New Roman"/>
          <w:lang w:eastAsia="en-US"/>
        </w:rPr>
        <w:t xml:space="preserve"> </w:t>
      </w:r>
      <w:r w:rsidR="00AC7028">
        <w:rPr>
          <w:rFonts w:eastAsia="Times New Roman"/>
          <w:lang w:eastAsia="en-US"/>
        </w:rPr>
        <w:t>CCR ARO c</w:t>
      </w:r>
      <w:r>
        <w:rPr>
          <w:rFonts w:eastAsia="Times New Roman"/>
          <w:lang w:eastAsia="en-US"/>
        </w:rPr>
        <w:t xml:space="preserve">ompliance </w:t>
      </w:r>
      <w:r w:rsidR="00901394">
        <w:rPr>
          <w:rFonts w:eastAsia="Times New Roman"/>
          <w:lang w:eastAsia="en-US"/>
        </w:rPr>
        <w:t>costs through</w:t>
      </w:r>
      <w:r w:rsidR="00393A02">
        <w:rPr>
          <w:rFonts w:eastAsia="Times New Roman"/>
          <w:lang w:eastAsia="en-US"/>
        </w:rPr>
        <w:t xml:space="preserve"> annual increases in</w:t>
      </w:r>
      <w:r w:rsidR="00901394">
        <w:rPr>
          <w:rFonts w:eastAsia="Times New Roman"/>
          <w:lang w:eastAsia="en-US"/>
        </w:rPr>
        <w:t xml:space="preserve"> traditional base tariffs</w:t>
      </w:r>
      <w:r w:rsidR="00393A02">
        <w:rPr>
          <w:rFonts w:eastAsia="Times New Roman"/>
          <w:lang w:eastAsia="en-US"/>
        </w:rPr>
        <w:t>.</w:t>
      </w:r>
      <w:r w:rsidR="005B4C39">
        <w:rPr>
          <w:rFonts w:eastAsia="Times New Roman"/>
          <w:lang w:eastAsia="en-US"/>
        </w:rPr>
        <w:tab/>
      </w:r>
      <w:r w:rsidR="005B4C39">
        <w:rPr>
          <w:rFonts w:eastAsia="Times New Roman"/>
          <w:lang w:eastAsia="en-US"/>
        </w:rPr>
        <w:tab/>
      </w:r>
      <w:r w:rsidR="005B4C39">
        <w:rPr>
          <w:rFonts w:eastAsia="Times New Roman"/>
          <w:lang w:eastAsia="en-US"/>
        </w:rPr>
        <w:tab/>
      </w:r>
      <w:r w:rsidR="005B4C39">
        <w:rPr>
          <w:rFonts w:eastAsia="Times New Roman"/>
          <w:lang w:eastAsia="en-US"/>
        </w:rPr>
        <w:tab/>
      </w:r>
      <w:r w:rsidR="005B4C39">
        <w:rPr>
          <w:rFonts w:eastAsia="Times New Roman"/>
          <w:lang w:eastAsia="en-US"/>
        </w:rPr>
        <w:tab/>
      </w:r>
      <w:r w:rsidR="005B4C39">
        <w:rPr>
          <w:rFonts w:eastAsia="Times New Roman"/>
          <w:lang w:eastAsia="en-US"/>
        </w:rPr>
        <w:tab/>
      </w:r>
      <w:r w:rsidR="005B4C39">
        <w:rPr>
          <w:rFonts w:eastAsia="Times New Roman"/>
          <w:lang w:eastAsia="en-US"/>
        </w:rPr>
        <w:tab/>
      </w:r>
      <w:r w:rsidR="00901394">
        <w:rPr>
          <w:rFonts w:eastAsia="Times New Roman"/>
          <w:lang w:eastAsia="en-US"/>
        </w:rPr>
        <w:tab/>
      </w:r>
    </w:p>
    <w:p w14:paraId="0089C184" w14:textId="3DCA1E81" w:rsidR="00363BA0" w:rsidRDefault="00393A02" w:rsidP="00363BA0">
      <w:pPr>
        <w:pStyle w:val="BodyText"/>
        <w:spacing w:before="0" w:after="0" w:line="360" w:lineRule="auto"/>
        <w:ind w:left="720" w:firstLine="0"/>
      </w:pPr>
      <w:r>
        <w:rPr>
          <w:rFonts w:eastAsia="Times New Roman"/>
          <w:lang w:eastAsia="en-US"/>
        </w:rPr>
        <w:t>T</w:t>
      </w:r>
      <w:r w:rsidR="00901394">
        <w:rPr>
          <w:rFonts w:eastAsia="Times New Roman"/>
          <w:lang w:eastAsia="en-US"/>
        </w:rPr>
        <w:t>he DSM tariffs</w:t>
      </w:r>
      <w:r>
        <w:rPr>
          <w:rFonts w:eastAsia="Times New Roman"/>
          <w:lang w:eastAsia="en-US"/>
        </w:rPr>
        <w:t xml:space="preserve"> will be adjusted annually</w:t>
      </w:r>
      <w:r w:rsidR="00901394">
        <w:rPr>
          <w:rFonts w:eastAsia="Times New Roman"/>
          <w:lang w:eastAsia="en-US"/>
        </w:rPr>
        <w:t xml:space="preserve"> to collect</w:t>
      </w:r>
      <w:r w:rsidR="00FE7C52">
        <w:rPr>
          <w:rFonts w:eastAsia="Times New Roman"/>
          <w:lang w:eastAsia="en-US"/>
        </w:rPr>
        <w:t xml:space="preserve"> the Commission-approved</w:t>
      </w:r>
      <w:r w:rsidR="00901394">
        <w:rPr>
          <w:rFonts w:eastAsia="Times New Roman"/>
          <w:lang w:eastAsia="en-US"/>
        </w:rPr>
        <w:t xml:space="preserve"> DSM costs</w:t>
      </w:r>
      <w:r w:rsidR="009126FF">
        <w:rPr>
          <w:rFonts w:eastAsia="Times New Roman"/>
          <w:lang w:eastAsia="en-US"/>
        </w:rPr>
        <w:t xml:space="preserve"> addressed in Georgia Power’s</w:t>
      </w:r>
      <w:r w:rsidR="00901394">
        <w:rPr>
          <w:rFonts w:eastAsia="Times New Roman"/>
          <w:lang w:eastAsia="en-US"/>
        </w:rPr>
        <w:t xml:space="preserve"> DSM certification proceeding in Docket No. 4231</w:t>
      </w:r>
      <w:r w:rsidR="009126FF">
        <w:rPr>
          <w:rFonts w:eastAsia="Times New Roman"/>
          <w:lang w:eastAsia="en-US"/>
        </w:rPr>
        <w:t>1</w:t>
      </w:r>
      <w:r w:rsidR="00C013F1">
        <w:rPr>
          <w:rFonts w:eastAsia="Times New Roman"/>
          <w:lang w:eastAsia="en-US"/>
        </w:rPr>
        <w:t xml:space="preserve"> (“2019 DSM Certification”)</w:t>
      </w:r>
      <w:r w:rsidR="00537DB9">
        <w:rPr>
          <w:rFonts w:eastAsia="Times New Roman"/>
          <w:lang w:eastAsia="en-US"/>
        </w:rPr>
        <w:t xml:space="preserve">.  </w:t>
      </w:r>
      <w:r w:rsidR="009126FF">
        <w:rPr>
          <w:rFonts w:eastAsia="Times New Roman"/>
          <w:lang w:eastAsia="en-US"/>
        </w:rPr>
        <w:t xml:space="preserve">The Company will also </w:t>
      </w:r>
      <w:r w:rsidR="00901394">
        <w:t>continue the true-up of actual revenues collected and expenses incurred under the DSM tariffs through the annual compliance filings</w:t>
      </w:r>
      <w:r w:rsidR="00537DB9">
        <w:t xml:space="preserve">.  </w:t>
      </w:r>
      <w:r w:rsidR="00901394">
        <w:t>Therefore, the proposed DSM tariff</w:t>
      </w:r>
      <w:r w:rsidR="009126FF">
        <w:t>s</w:t>
      </w:r>
      <w:r w:rsidR="00901394">
        <w:t xml:space="preserve"> do not</w:t>
      </w:r>
      <w:r w:rsidR="00901394" w:rsidRPr="005F19CB">
        <w:t xml:space="preserve"> include levelization over the three-year period</w:t>
      </w:r>
      <w:r w:rsidR="00586E87">
        <w:t>.</w:t>
      </w:r>
      <w:r w:rsidR="00363BA0">
        <w:br w:type="page"/>
      </w:r>
    </w:p>
    <w:p w14:paraId="6451FCFD" w14:textId="6749D62A" w:rsidR="00393A02" w:rsidRDefault="006C325C" w:rsidP="00393A02">
      <w:pPr>
        <w:pStyle w:val="BodyText"/>
        <w:spacing w:before="0" w:after="0" w:line="360" w:lineRule="auto"/>
        <w:ind w:left="720" w:firstLine="0"/>
        <w:rPr>
          <w:rFonts w:eastAsia="Times New Roman"/>
          <w:lang w:eastAsia="en-US"/>
        </w:rPr>
      </w:pPr>
      <w:r>
        <w:lastRenderedPageBreak/>
        <w:t>Accordingly, t</w:t>
      </w:r>
      <w:r w:rsidR="00393A02">
        <w:t>he</w:t>
      </w:r>
      <w:r w:rsidR="00901394">
        <w:t xml:space="preserve"> MFF tariff </w:t>
      </w:r>
      <w:r w:rsidRPr="006C325C">
        <w:t>will be adjusted to capture the increase in the tariffs discussed above and updated to incorporate the change in percentage of revenues from inside the municipalities</w:t>
      </w:r>
      <w:r>
        <w:t xml:space="preserve">.  The MFF tariff </w:t>
      </w:r>
      <w:r w:rsidR="00393A02">
        <w:t>may be modified during the term of the proposed ARP to account for new incorporation of municipalities, as provided in the current MFF tariff.</w:t>
      </w:r>
      <w:r>
        <w:rPr>
          <w:rFonts w:eastAsia="Times New Roman"/>
          <w:lang w:eastAsia="en-US"/>
        </w:rPr>
        <w:t xml:space="preserve">  The changes in the CCR ARO compliance cost collections and the DSM collections will have a corresponding effect on the </w:t>
      </w:r>
      <w:r w:rsidRPr="005F19CB">
        <w:rPr>
          <w:rFonts w:eastAsia="Times New Roman"/>
          <w:lang w:eastAsia="en-US"/>
        </w:rPr>
        <w:t xml:space="preserve">MFF </w:t>
      </w:r>
      <w:r w:rsidR="00A25132">
        <w:rPr>
          <w:rFonts w:eastAsia="Times New Roman"/>
          <w:lang w:eastAsia="en-US"/>
        </w:rPr>
        <w:t xml:space="preserve">tariffs </w:t>
      </w:r>
      <w:r>
        <w:rPr>
          <w:rFonts w:eastAsia="Times New Roman"/>
          <w:lang w:eastAsia="en-US"/>
        </w:rPr>
        <w:t>in 2021 and 2022</w:t>
      </w:r>
      <w:r>
        <w:t xml:space="preserve">.  </w:t>
      </w:r>
    </w:p>
    <w:p w14:paraId="386369C0" w14:textId="77777777" w:rsidR="00393A02" w:rsidRDefault="00393A02" w:rsidP="00393A02">
      <w:pPr>
        <w:pStyle w:val="BodyText"/>
        <w:spacing w:before="0" w:after="0" w:line="360" w:lineRule="auto"/>
        <w:ind w:left="720" w:firstLine="0"/>
        <w:rPr>
          <w:rFonts w:eastAsia="Times New Roman"/>
          <w:lang w:eastAsia="en-US"/>
        </w:rPr>
      </w:pPr>
    </w:p>
    <w:p w14:paraId="58DCBD8B" w14:textId="36647FA0" w:rsidR="005B4C39" w:rsidRDefault="00901394" w:rsidP="00393A02">
      <w:pPr>
        <w:pStyle w:val="BodyText"/>
        <w:spacing w:before="0" w:after="0" w:line="360" w:lineRule="auto"/>
        <w:ind w:left="720" w:firstLine="0"/>
        <w:rPr>
          <w:rFonts w:eastAsia="Times New Roman"/>
          <w:lang w:eastAsia="en-US"/>
        </w:rPr>
      </w:pPr>
      <w:r w:rsidRPr="005F19CB">
        <w:rPr>
          <w:rFonts w:eastAsia="Times New Roman"/>
          <w:lang w:eastAsia="en-US"/>
        </w:rPr>
        <w:t xml:space="preserve">Combined, </w:t>
      </w:r>
      <w:r>
        <w:rPr>
          <w:rFonts w:eastAsia="Times New Roman"/>
          <w:lang w:eastAsia="en-US"/>
        </w:rPr>
        <w:t>the Company’s</w:t>
      </w:r>
      <w:r w:rsidRPr="005F19CB">
        <w:rPr>
          <w:rFonts w:eastAsia="Times New Roman"/>
          <w:lang w:eastAsia="en-US"/>
        </w:rPr>
        <w:t xml:space="preserve"> </w:t>
      </w:r>
      <w:r>
        <w:rPr>
          <w:rFonts w:eastAsia="Times New Roman"/>
          <w:lang w:eastAsia="en-US"/>
        </w:rPr>
        <w:t xml:space="preserve">2020 </w:t>
      </w:r>
      <w:r w:rsidRPr="005F19CB">
        <w:rPr>
          <w:rFonts w:eastAsia="Times New Roman"/>
          <w:lang w:eastAsia="en-US"/>
        </w:rPr>
        <w:t>request</w:t>
      </w:r>
      <w:r w:rsidR="006F3E87">
        <w:rPr>
          <w:rFonts w:eastAsia="Times New Roman"/>
          <w:lang w:eastAsia="en-US"/>
        </w:rPr>
        <w:t>ed increase</w:t>
      </w:r>
      <w:r w:rsidRPr="005F19CB">
        <w:rPr>
          <w:rFonts w:eastAsia="Times New Roman"/>
          <w:lang w:eastAsia="en-US"/>
        </w:rPr>
        <w:t xml:space="preserve"> totals $</w:t>
      </w:r>
      <w:r>
        <w:rPr>
          <w:rFonts w:eastAsia="Times New Roman"/>
          <w:lang w:eastAsia="en-US"/>
        </w:rPr>
        <w:t>563</w:t>
      </w:r>
      <w:r w:rsidRPr="005F19CB">
        <w:rPr>
          <w:rFonts w:eastAsia="Times New Roman"/>
          <w:lang w:eastAsia="en-US"/>
        </w:rPr>
        <w:t xml:space="preserve"> million</w:t>
      </w:r>
      <w:r w:rsidR="003E3636">
        <w:rPr>
          <w:rFonts w:eastAsia="Times New Roman"/>
          <w:lang w:eastAsia="en-US"/>
        </w:rPr>
        <w:t>, a</w:t>
      </w:r>
      <w:r>
        <w:rPr>
          <w:rFonts w:eastAsia="Times New Roman"/>
          <w:lang w:eastAsia="en-US"/>
        </w:rPr>
        <w:t xml:space="preserve"> change</w:t>
      </w:r>
      <w:r w:rsidRPr="005F19CB">
        <w:rPr>
          <w:rFonts w:eastAsia="Times New Roman"/>
          <w:lang w:eastAsia="en-US"/>
        </w:rPr>
        <w:t xml:space="preserve"> of </w:t>
      </w:r>
      <w:r>
        <w:rPr>
          <w:rFonts w:eastAsia="Times New Roman"/>
          <w:lang w:eastAsia="en-US"/>
        </w:rPr>
        <w:t>7.22%</w:t>
      </w:r>
      <w:r w:rsidRPr="005F19CB">
        <w:rPr>
          <w:rFonts w:eastAsia="Times New Roman"/>
          <w:lang w:eastAsia="en-US"/>
        </w:rPr>
        <w:t xml:space="preserve"> to </w:t>
      </w:r>
      <w:r w:rsidR="003E3636">
        <w:rPr>
          <w:rFonts w:eastAsia="Times New Roman"/>
          <w:lang w:eastAsia="en-US"/>
        </w:rPr>
        <w:t>the Company’s</w:t>
      </w:r>
      <w:r>
        <w:rPr>
          <w:rFonts w:eastAsia="Times New Roman"/>
          <w:lang w:eastAsia="en-US"/>
        </w:rPr>
        <w:t xml:space="preserve"> </w:t>
      </w:r>
      <w:r w:rsidRPr="005F19CB">
        <w:rPr>
          <w:rFonts w:eastAsia="Times New Roman"/>
          <w:lang w:eastAsia="en-US"/>
        </w:rPr>
        <w:t xml:space="preserve">retail rates </w:t>
      </w:r>
      <w:r>
        <w:rPr>
          <w:rFonts w:eastAsia="Times New Roman"/>
          <w:lang w:eastAsia="en-US"/>
        </w:rPr>
        <w:t>that will result</w:t>
      </w:r>
      <w:r w:rsidRPr="005F19CB">
        <w:rPr>
          <w:rFonts w:eastAsia="Times New Roman"/>
          <w:lang w:eastAsia="en-US"/>
        </w:rPr>
        <w:t xml:space="preserve"> in an increase of </w:t>
      </w:r>
      <w:r>
        <w:rPr>
          <w:rFonts w:eastAsia="Times New Roman"/>
          <w:lang w:eastAsia="en-US"/>
        </w:rPr>
        <w:t>approximately</w:t>
      </w:r>
      <w:r w:rsidRPr="005F19CB">
        <w:rPr>
          <w:rFonts w:eastAsia="Times New Roman"/>
          <w:lang w:eastAsia="en-US"/>
        </w:rPr>
        <w:t xml:space="preserve"> </w:t>
      </w:r>
      <w:r w:rsidRPr="00A24840">
        <w:rPr>
          <w:rFonts w:eastAsia="Times New Roman"/>
          <w:lang w:eastAsia="en-US"/>
        </w:rPr>
        <w:t>$9.</w:t>
      </w:r>
      <w:r w:rsidR="00B95AAE" w:rsidRPr="00A24840">
        <w:rPr>
          <w:rFonts w:eastAsia="Times New Roman"/>
          <w:lang w:eastAsia="en-US"/>
        </w:rPr>
        <w:t>78</w:t>
      </w:r>
      <w:r w:rsidR="00B95AAE" w:rsidRPr="00D432E7">
        <w:rPr>
          <w:rFonts w:eastAsia="Times New Roman"/>
          <w:lang w:eastAsia="en-US"/>
        </w:rPr>
        <w:t xml:space="preserve"> </w:t>
      </w:r>
      <w:r w:rsidRPr="00D432E7">
        <w:rPr>
          <w:rFonts w:eastAsia="Times New Roman"/>
          <w:lang w:eastAsia="en-US"/>
        </w:rPr>
        <w:t>to</w:t>
      </w:r>
      <w:r w:rsidRPr="005F19CB">
        <w:rPr>
          <w:rFonts w:eastAsia="Times New Roman"/>
          <w:lang w:eastAsia="en-US"/>
        </w:rPr>
        <w:t xml:space="preserve"> the monthly bill of a typical residential customer using</w:t>
      </w:r>
      <w:r w:rsidR="00FE4F04">
        <w:rPr>
          <w:rFonts w:eastAsia="Times New Roman"/>
          <w:lang w:eastAsia="en-US"/>
        </w:rPr>
        <w:t xml:space="preserve"> an average of</w:t>
      </w:r>
      <w:r w:rsidRPr="005F19CB">
        <w:rPr>
          <w:rFonts w:eastAsia="Times New Roman"/>
          <w:lang w:eastAsia="en-US"/>
        </w:rPr>
        <w:t xml:space="preserve"> 1,000 kWh per month.</w:t>
      </w:r>
      <w:r>
        <w:rPr>
          <w:rFonts w:eastAsia="Times New Roman"/>
          <w:lang w:eastAsia="en-US"/>
        </w:rPr>
        <w:t xml:space="preserve">  The proposed 2021 and 2022 annual</w:t>
      </w:r>
      <w:r w:rsidR="00E34D1E">
        <w:rPr>
          <w:rFonts w:eastAsia="Times New Roman"/>
          <w:lang w:eastAsia="en-US"/>
        </w:rPr>
        <w:t xml:space="preserve"> </w:t>
      </w:r>
      <w:r w:rsidR="00505E7D">
        <w:rPr>
          <w:rFonts w:eastAsia="Times New Roman"/>
          <w:lang w:eastAsia="en-US"/>
        </w:rPr>
        <w:t xml:space="preserve">traditional </w:t>
      </w:r>
      <w:r w:rsidR="00E34D1E">
        <w:rPr>
          <w:rFonts w:eastAsia="Times New Roman"/>
          <w:lang w:eastAsia="en-US"/>
        </w:rPr>
        <w:t xml:space="preserve">base rate </w:t>
      </w:r>
      <w:r>
        <w:rPr>
          <w:rFonts w:eastAsia="Times New Roman"/>
          <w:lang w:eastAsia="en-US"/>
        </w:rPr>
        <w:t xml:space="preserve">increases for projected incremental </w:t>
      </w:r>
      <w:r w:rsidR="00E34D1E">
        <w:rPr>
          <w:rFonts w:eastAsia="Times New Roman"/>
          <w:lang w:eastAsia="en-US"/>
        </w:rPr>
        <w:t xml:space="preserve">CCR </w:t>
      </w:r>
      <w:r>
        <w:rPr>
          <w:rFonts w:eastAsia="Times New Roman"/>
          <w:lang w:eastAsia="en-US"/>
        </w:rPr>
        <w:t>ARO</w:t>
      </w:r>
      <w:r w:rsidR="00E34D1E">
        <w:rPr>
          <w:rFonts w:eastAsia="Times New Roman"/>
          <w:lang w:eastAsia="en-US"/>
        </w:rPr>
        <w:t xml:space="preserve"> compliance</w:t>
      </w:r>
      <w:r>
        <w:rPr>
          <w:rFonts w:eastAsia="Times New Roman"/>
          <w:lang w:eastAsia="en-US"/>
        </w:rPr>
        <w:t xml:space="preserve"> cost</w:t>
      </w:r>
      <w:r w:rsidR="00E34D1E">
        <w:rPr>
          <w:rFonts w:eastAsia="Times New Roman"/>
          <w:lang w:eastAsia="en-US"/>
        </w:rPr>
        <w:t xml:space="preserve">s </w:t>
      </w:r>
      <w:r>
        <w:rPr>
          <w:rFonts w:eastAsia="Times New Roman"/>
          <w:lang w:eastAsia="en-US"/>
        </w:rPr>
        <w:t>of $140 million and $227 million</w:t>
      </w:r>
      <w:r w:rsidR="00B95AAE">
        <w:rPr>
          <w:rFonts w:eastAsia="Times New Roman"/>
          <w:lang w:eastAsia="en-US"/>
        </w:rPr>
        <w:t xml:space="preserve">, combined with </w:t>
      </w:r>
      <w:r w:rsidR="00586E87">
        <w:rPr>
          <w:rFonts w:eastAsia="Times New Roman"/>
          <w:lang w:eastAsia="en-US"/>
        </w:rPr>
        <w:t xml:space="preserve">expected </w:t>
      </w:r>
      <w:r w:rsidR="00B95AAE">
        <w:rPr>
          <w:rFonts w:eastAsia="Times New Roman"/>
          <w:lang w:eastAsia="en-US"/>
        </w:rPr>
        <w:t>increases for DSM and MFF tariffs,</w:t>
      </w:r>
      <w:r>
        <w:rPr>
          <w:rFonts w:eastAsia="Times New Roman"/>
          <w:lang w:eastAsia="en-US"/>
        </w:rPr>
        <w:t xml:space="preserve"> will result in increases </w:t>
      </w:r>
      <w:r w:rsidRPr="00514D16">
        <w:rPr>
          <w:rFonts w:eastAsia="Times New Roman"/>
          <w:lang w:eastAsia="en-US"/>
        </w:rPr>
        <w:t>of 1.75% and 2.74%</w:t>
      </w:r>
      <w:r>
        <w:rPr>
          <w:rFonts w:eastAsia="Times New Roman"/>
          <w:lang w:eastAsia="en-US"/>
        </w:rPr>
        <w:t xml:space="preserve"> of retail </w:t>
      </w:r>
      <w:r w:rsidR="00CA0355">
        <w:rPr>
          <w:rFonts w:eastAsia="Times New Roman"/>
          <w:lang w:eastAsia="en-US"/>
        </w:rPr>
        <w:t>rates, and</w:t>
      </w:r>
      <w:r w:rsidR="00653C0F">
        <w:rPr>
          <w:rFonts w:eastAsia="Times New Roman"/>
          <w:lang w:eastAsia="en-US"/>
        </w:rPr>
        <w:t xml:space="preserve"> </w:t>
      </w:r>
      <w:r>
        <w:rPr>
          <w:rFonts w:eastAsia="Times New Roman"/>
          <w:lang w:eastAsia="en-US"/>
        </w:rPr>
        <w:t xml:space="preserve">approximately </w:t>
      </w:r>
      <w:r w:rsidRPr="00A24840">
        <w:rPr>
          <w:rFonts w:eastAsia="Times New Roman"/>
          <w:lang w:eastAsia="en-US"/>
        </w:rPr>
        <w:t>$2.56 and $4.</w:t>
      </w:r>
      <w:r w:rsidR="00B95AAE" w:rsidRPr="00A24840">
        <w:rPr>
          <w:rFonts w:eastAsia="Times New Roman"/>
          <w:lang w:eastAsia="en-US"/>
        </w:rPr>
        <w:t xml:space="preserve">14 </w:t>
      </w:r>
      <w:r w:rsidRPr="00A24840">
        <w:rPr>
          <w:rFonts w:eastAsia="Times New Roman"/>
          <w:lang w:eastAsia="en-US"/>
        </w:rPr>
        <w:t>to</w:t>
      </w:r>
      <w:r w:rsidRPr="005F19CB">
        <w:rPr>
          <w:rFonts w:eastAsia="Times New Roman"/>
          <w:lang w:eastAsia="en-US"/>
        </w:rPr>
        <w:t xml:space="preserve"> the monthly bill of a typical residential customer using </w:t>
      </w:r>
      <w:r w:rsidR="00FE4F04">
        <w:rPr>
          <w:rFonts w:eastAsia="Times New Roman"/>
          <w:lang w:eastAsia="en-US"/>
        </w:rPr>
        <w:t xml:space="preserve">an average of </w:t>
      </w:r>
      <w:r w:rsidRPr="005F19CB">
        <w:rPr>
          <w:rFonts w:eastAsia="Times New Roman"/>
          <w:lang w:eastAsia="en-US"/>
        </w:rPr>
        <w:t>1,000 kWh per month.</w:t>
      </w:r>
      <w:r w:rsidR="0012458D">
        <w:rPr>
          <w:rFonts w:eastAsia="Times New Roman"/>
          <w:lang w:eastAsia="en-US"/>
        </w:rPr>
        <w:tab/>
      </w:r>
      <w:r w:rsidR="0012458D">
        <w:rPr>
          <w:rFonts w:eastAsia="Times New Roman"/>
          <w:lang w:eastAsia="en-US"/>
        </w:rPr>
        <w:tab/>
      </w:r>
      <w:r w:rsidR="0012458D">
        <w:rPr>
          <w:rFonts w:eastAsia="Times New Roman"/>
          <w:lang w:eastAsia="en-US"/>
        </w:rPr>
        <w:tab/>
      </w:r>
      <w:r w:rsidR="0012458D">
        <w:rPr>
          <w:rFonts w:eastAsia="Times New Roman"/>
          <w:lang w:eastAsia="en-US"/>
        </w:rPr>
        <w:tab/>
      </w:r>
      <w:r w:rsidR="0012458D">
        <w:rPr>
          <w:rFonts w:eastAsia="Times New Roman"/>
          <w:lang w:eastAsia="en-US"/>
        </w:rPr>
        <w:tab/>
      </w:r>
      <w:r w:rsidR="0012458D">
        <w:rPr>
          <w:rFonts w:eastAsia="Times New Roman"/>
          <w:lang w:eastAsia="en-US"/>
        </w:rPr>
        <w:tab/>
      </w:r>
      <w:r w:rsidR="0012458D">
        <w:rPr>
          <w:rFonts w:eastAsia="Times New Roman"/>
          <w:lang w:eastAsia="en-US"/>
        </w:rPr>
        <w:tab/>
      </w:r>
      <w:r w:rsidR="0012458D">
        <w:rPr>
          <w:rFonts w:eastAsia="Times New Roman"/>
          <w:lang w:eastAsia="en-US"/>
        </w:rPr>
        <w:tab/>
      </w:r>
    </w:p>
    <w:p w14:paraId="276072B0" w14:textId="16B04AE0" w:rsidR="00972C27" w:rsidRDefault="00972C27" w:rsidP="00972C27">
      <w:pPr>
        <w:pStyle w:val="BodyText"/>
        <w:spacing w:before="0" w:after="0" w:line="360" w:lineRule="auto"/>
        <w:ind w:left="720" w:hanging="720"/>
        <w:rPr>
          <w:b/>
        </w:rPr>
      </w:pPr>
      <w:r w:rsidRPr="006A6928">
        <w:rPr>
          <w:b/>
        </w:rPr>
        <w:t>Q.</w:t>
      </w:r>
      <w:r w:rsidRPr="006A6928">
        <w:rPr>
          <w:b/>
        </w:rPr>
        <w:tab/>
        <w:t xml:space="preserve">PLEASE </w:t>
      </w:r>
      <w:r>
        <w:rPr>
          <w:b/>
        </w:rPr>
        <w:t>EXPLAIN</w:t>
      </w:r>
      <w:r w:rsidRPr="006A6928">
        <w:rPr>
          <w:b/>
        </w:rPr>
        <w:t xml:space="preserve"> THE</w:t>
      </w:r>
      <w:r>
        <w:rPr>
          <w:b/>
        </w:rPr>
        <w:t xml:space="preserve"> </w:t>
      </w:r>
      <w:r w:rsidR="0075627A">
        <w:rPr>
          <w:b/>
        </w:rPr>
        <w:t xml:space="preserve">REASONS FOR THE </w:t>
      </w:r>
      <w:r>
        <w:rPr>
          <w:b/>
        </w:rPr>
        <w:t>INCREASE</w:t>
      </w:r>
      <w:r w:rsidRPr="006A6928">
        <w:rPr>
          <w:b/>
        </w:rPr>
        <w:t xml:space="preserve"> IN THE COMPANY’S </w:t>
      </w:r>
      <w:r>
        <w:rPr>
          <w:b/>
        </w:rPr>
        <w:t xml:space="preserve">PROJECTED </w:t>
      </w:r>
      <w:r w:rsidRPr="006A6928">
        <w:rPr>
          <w:b/>
        </w:rPr>
        <w:t xml:space="preserve">REVENUE REQUIREMENT SINCE </w:t>
      </w:r>
      <w:r>
        <w:rPr>
          <w:b/>
        </w:rPr>
        <w:t xml:space="preserve">CURRENT </w:t>
      </w:r>
      <w:r w:rsidRPr="006A6928">
        <w:rPr>
          <w:b/>
        </w:rPr>
        <w:t>BASE RATES WERE ESTABLISHED IN THE 2013 RATE</w:t>
      </w:r>
      <w:r>
        <w:rPr>
          <w:b/>
        </w:rPr>
        <w:t xml:space="preserve"> CASE</w:t>
      </w:r>
      <w:r w:rsidRPr="006A6928">
        <w:rPr>
          <w:b/>
        </w:rPr>
        <w:t>.</w:t>
      </w:r>
    </w:p>
    <w:p w14:paraId="7282977D" w14:textId="2F69F8FC" w:rsidR="00363BA0" w:rsidRDefault="00972C27" w:rsidP="00363BA0">
      <w:pPr>
        <w:pStyle w:val="BodyText"/>
        <w:spacing w:before="0" w:after="0" w:line="360" w:lineRule="auto"/>
        <w:ind w:left="720" w:hanging="720"/>
      </w:pPr>
      <w:r w:rsidRPr="006A6928">
        <w:t>A.</w:t>
      </w:r>
      <w:r w:rsidRPr="006A6928">
        <w:tab/>
      </w:r>
      <w:r w:rsidR="00AF6F97">
        <w:t>Over the last six years the Company has made</w:t>
      </w:r>
      <w:r w:rsidR="006F3E87">
        <w:t xml:space="preserve"> significant</w:t>
      </w:r>
      <w:r w:rsidR="00AF6F97">
        <w:t xml:space="preserve"> investments for the benefit of </w:t>
      </w:r>
      <w:r w:rsidR="00C3110D">
        <w:t>c</w:t>
      </w:r>
      <w:r w:rsidR="00AF6F97">
        <w:t>ustomers</w:t>
      </w:r>
      <w:r w:rsidR="00AB2BDE">
        <w:t xml:space="preserve"> </w:t>
      </w:r>
      <w:r w:rsidR="00AB2BDE" w:rsidRPr="00AB2BDE">
        <w:t>and incurred substantial and unexpected storm restoration costs</w:t>
      </w:r>
      <w:r w:rsidR="00D906A0">
        <w:t>,</w:t>
      </w:r>
      <w:r w:rsidR="00AB2BDE" w:rsidRPr="00AB2BDE">
        <w:t xml:space="preserve"> which have been </w:t>
      </w:r>
      <w:r w:rsidR="006F3E87">
        <w:t>deferred</w:t>
      </w:r>
      <w:r w:rsidR="006F3E87" w:rsidRPr="00AB2BDE">
        <w:t xml:space="preserve"> </w:t>
      </w:r>
      <w:r w:rsidR="00AB2BDE" w:rsidRPr="00AB2BDE">
        <w:t xml:space="preserve">as provided by prior Commission Orders.  In addition, we need to continue to </w:t>
      </w:r>
      <w:r w:rsidR="00586E87">
        <w:t xml:space="preserve">comply with environmental regulations and </w:t>
      </w:r>
      <w:r w:rsidR="00AB2BDE" w:rsidRPr="00AB2BDE">
        <w:t>make capital investments to serve our customers.  The chart below helps illustrate the principal cost drivers since 2013.</w:t>
      </w:r>
      <w:r w:rsidR="00363BA0">
        <w:br w:type="page"/>
      </w:r>
    </w:p>
    <w:p w14:paraId="16FA7A4B" w14:textId="0597F3FD" w:rsidR="008A3100" w:rsidRPr="00C23928" w:rsidRDefault="008959A6" w:rsidP="00381047">
      <w:pPr>
        <w:pStyle w:val="BodyText"/>
        <w:keepNext/>
        <w:spacing w:before="0" w:after="0" w:line="360" w:lineRule="auto"/>
        <w:ind w:left="720" w:hanging="720"/>
        <w:jc w:val="center"/>
        <w:rPr>
          <w:b/>
        </w:rPr>
      </w:pPr>
      <w:r w:rsidRPr="008959A6">
        <w:rPr>
          <w:noProof/>
        </w:rPr>
        <w:lastRenderedPageBreak/>
        <w:drawing>
          <wp:anchor distT="0" distB="0" distL="114300" distR="114300" simplePos="0" relativeHeight="251658240" behindDoc="1" locked="0" layoutInCell="1" allowOverlap="1" wp14:anchorId="6D64A9A0" wp14:editId="633CB8CF">
            <wp:simplePos x="0" y="0"/>
            <wp:positionH relativeFrom="column">
              <wp:posOffset>283580</wp:posOffset>
            </wp:positionH>
            <wp:positionV relativeFrom="paragraph">
              <wp:posOffset>271925</wp:posOffset>
            </wp:positionV>
            <wp:extent cx="6131957" cy="3032567"/>
            <wp:effectExtent l="0" t="0" r="2540" b="0"/>
            <wp:wrapTight wrapText="bothSides">
              <wp:wrapPolygon edited="0">
                <wp:start x="0" y="0"/>
                <wp:lineTo x="0" y="21442"/>
                <wp:lineTo x="21542" y="21442"/>
                <wp:lineTo x="2154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131957" cy="3032567"/>
                    </a:xfrm>
                    <a:prstGeom prst="rect">
                      <a:avLst/>
                    </a:prstGeom>
                  </pic:spPr>
                </pic:pic>
              </a:graphicData>
            </a:graphic>
            <wp14:sizeRelH relativeFrom="page">
              <wp14:pctWidth>0</wp14:pctWidth>
            </wp14:sizeRelH>
            <wp14:sizeRelV relativeFrom="page">
              <wp14:pctHeight>0</wp14:pctHeight>
            </wp14:sizeRelV>
          </wp:anchor>
        </w:drawing>
      </w:r>
      <w:r w:rsidR="00777E65" w:rsidRPr="00C23928">
        <w:rPr>
          <w:b/>
        </w:rPr>
        <w:t xml:space="preserve">Chart 1: </w:t>
      </w:r>
      <w:r w:rsidR="00935D38">
        <w:rPr>
          <w:b/>
        </w:rPr>
        <w:t xml:space="preserve">Review of Increasing Drivers </w:t>
      </w:r>
    </w:p>
    <w:p w14:paraId="70E58085" w14:textId="230C9391" w:rsidR="00F95E6A" w:rsidRPr="00F95E6A" w:rsidRDefault="00F95E6A" w:rsidP="00F95E6A">
      <w:pPr>
        <w:pStyle w:val="BodyText"/>
        <w:spacing w:before="0" w:after="0"/>
        <w:rPr>
          <w:i/>
          <w:sz w:val="19"/>
          <w:szCs w:val="19"/>
        </w:rPr>
      </w:pPr>
      <w:r w:rsidRPr="00F95E6A">
        <w:rPr>
          <w:i/>
          <w:sz w:val="19"/>
          <w:szCs w:val="19"/>
        </w:rPr>
        <w:t xml:space="preserve">* Changes in Rate Base include changes in </w:t>
      </w:r>
      <w:r>
        <w:rPr>
          <w:i/>
          <w:sz w:val="19"/>
          <w:szCs w:val="19"/>
        </w:rPr>
        <w:t>d</w:t>
      </w:r>
      <w:r w:rsidRPr="00F95E6A">
        <w:rPr>
          <w:i/>
          <w:sz w:val="19"/>
          <w:szCs w:val="19"/>
        </w:rPr>
        <w:t xml:space="preserve">epreciation and </w:t>
      </w:r>
      <w:r>
        <w:rPr>
          <w:i/>
          <w:sz w:val="19"/>
          <w:szCs w:val="19"/>
        </w:rPr>
        <w:t>p</w:t>
      </w:r>
      <w:r w:rsidRPr="00F95E6A">
        <w:rPr>
          <w:i/>
          <w:sz w:val="19"/>
          <w:szCs w:val="19"/>
        </w:rPr>
        <w:t xml:space="preserve">roperty </w:t>
      </w:r>
      <w:r>
        <w:rPr>
          <w:i/>
          <w:sz w:val="19"/>
          <w:szCs w:val="19"/>
        </w:rPr>
        <w:t>t</w:t>
      </w:r>
      <w:r w:rsidRPr="00F95E6A">
        <w:rPr>
          <w:i/>
          <w:sz w:val="19"/>
          <w:szCs w:val="19"/>
        </w:rPr>
        <w:t>axes</w:t>
      </w:r>
    </w:p>
    <w:p w14:paraId="2F806B39" w14:textId="47E084CB" w:rsidR="00F95E6A" w:rsidRPr="00F95E6A" w:rsidRDefault="00F95E6A" w:rsidP="00F95E6A">
      <w:pPr>
        <w:pStyle w:val="BodyText"/>
        <w:spacing w:before="0" w:after="0"/>
        <w:rPr>
          <w:i/>
          <w:sz w:val="19"/>
          <w:szCs w:val="19"/>
        </w:rPr>
      </w:pPr>
      <w:r w:rsidRPr="00F95E6A">
        <w:rPr>
          <w:i/>
          <w:sz w:val="19"/>
          <w:szCs w:val="19"/>
        </w:rPr>
        <w:t xml:space="preserve">** Amortization includes Stewart County, </w:t>
      </w:r>
      <w:r>
        <w:rPr>
          <w:i/>
          <w:sz w:val="19"/>
          <w:szCs w:val="19"/>
        </w:rPr>
        <w:t>o</w:t>
      </w:r>
      <w:r w:rsidRPr="00F95E6A">
        <w:rPr>
          <w:i/>
          <w:sz w:val="19"/>
          <w:szCs w:val="19"/>
        </w:rPr>
        <w:t xml:space="preserve">bsolete </w:t>
      </w:r>
      <w:r>
        <w:rPr>
          <w:i/>
          <w:sz w:val="19"/>
          <w:szCs w:val="19"/>
        </w:rPr>
        <w:t>i</w:t>
      </w:r>
      <w:r w:rsidRPr="00F95E6A">
        <w:rPr>
          <w:i/>
          <w:sz w:val="19"/>
          <w:szCs w:val="19"/>
        </w:rPr>
        <w:t>nventory and Mitchell 3, Hammond, McIntosh, Hydro NBV</w:t>
      </w:r>
    </w:p>
    <w:p w14:paraId="4E9EE274" w14:textId="494ABB68" w:rsidR="00F95E6A" w:rsidRPr="00F95E6A" w:rsidRDefault="00F95E6A" w:rsidP="00F95E6A">
      <w:pPr>
        <w:pStyle w:val="BodyText"/>
        <w:spacing w:before="0" w:after="0"/>
        <w:rPr>
          <w:i/>
          <w:sz w:val="19"/>
          <w:szCs w:val="19"/>
        </w:rPr>
      </w:pPr>
      <w:r w:rsidRPr="00F95E6A">
        <w:rPr>
          <w:i/>
          <w:sz w:val="19"/>
          <w:szCs w:val="19"/>
        </w:rPr>
        <w:t xml:space="preserve">*** Other includes MFF, </w:t>
      </w:r>
      <w:r>
        <w:rPr>
          <w:i/>
          <w:sz w:val="19"/>
          <w:szCs w:val="19"/>
        </w:rPr>
        <w:t>c</w:t>
      </w:r>
      <w:r w:rsidRPr="00F95E6A">
        <w:rPr>
          <w:i/>
          <w:sz w:val="19"/>
          <w:szCs w:val="19"/>
        </w:rPr>
        <w:t xml:space="preserve">ost of </w:t>
      </w:r>
      <w:r>
        <w:rPr>
          <w:i/>
          <w:sz w:val="19"/>
          <w:szCs w:val="19"/>
        </w:rPr>
        <w:t>d</w:t>
      </w:r>
      <w:r w:rsidRPr="00F95E6A">
        <w:rPr>
          <w:i/>
          <w:sz w:val="19"/>
          <w:szCs w:val="19"/>
        </w:rPr>
        <w:t xml:space="preserve">ebt, </w:t>
      </w:r>
      <w:r>
        <w:rPr>
          <w:i/>
          <w:sz w:val="19"/>
          <w:szCs w:val="19"/>
        </w:rPr>
        <w:t>o</w:t>
      </w:r>
      <w:r w:rsidRPr="00F95E6A">
        <w:rPr>
          <w:i/>
          <w:sz w:val="19"/>
          <w:szCs w:val="19"/>
        </w:rPr>
        <w:t xml:space="preserve">ther </w:t>
      </w:r>
      <w:r>
        <w:rPr>
          <w:i/>
          <w:sz w:val="19"/>
          <w:szCs w:val="19"/>
        </w:rPr>
        <w:t>r</w:t>
      </w:r>
      <w:r w:rsidRPr="00F95E6A">
        <w:rPr>
          <w:i/>
          <w:sz w:val="19"/>
          <w:szCs w:val="19"/>
        </w:rPr>
        <w:t>evenues, etc.</w:t>
      </w:r>
    </w:p>
    <w:p w14:paraId="30E6354E" w14:textId="77777777" w:rsidR="00F95E6A" w:rsidRDefault="00F95E6A" w:rsidP="00F95E6A">
      <w:pPr>
        <w:pStyle w:val="BodyText"/>
        <w:spacing w:before="0" w:after="0" w:line="360" w:lineRule="auto"/>
        <w:ind w:left="720" w:firstLine="0"/>
      </w:pPr>
    </w:p>
    <w:p w14:paraId="1DBBD1EA" w14:textId="7D2AF8F2" w:rsidR="008D39CA" w:rsidRDefault="008D39CA" w:rsidP="00F95E6A">
      <w:pPr>
        <w:pStyle w:val="BodyText"/>
        <w:spacing w:before="0" w:after="0" w:line="360" w:lineRule="auto"/>
        <w:ind w:left="720" w:firstLine="0"/>
      </w:pPr>
      <w:r w:rsidRPr="008D39CA">
        <w:t xml:space="preserve">The largest factor </w:t>
      </w:r>
      <w:r w:rsidR="00586E87">
        <w:t xml:space="preserve">contributing to </w:t>
      </w:r>
      <w:r w:rsidRPr="008D39CA">
        <w:t>our increased costs since</w:t>
      </w:r>
      <w:r>
        <w:t xml:space="preserve"> </w:t>
      </w:r>
      <w:r w:rsidR="00972C27">
        <w:t>the 2013 Rate Case,</w:t>
      </w:r>
      <w:r>
        <w:t xml:space="preserve"> is the fact that since 2013</w:t>
      </w:r>
      <w:r w:rsidR="00972C27">
        <w:t xml:space="preserve"> and accounting for adjustments in the 2015 and 2016 compliance filings, the Company’s </w:t>
      </w:r>
      <w:r w:rsidR="00586E87">
        <w:t xml:space="preserve">net </w:t>
      </w:r>
      <w:r w:rsidR="00972C27">
        <w:t xml:space="preserve">retail rate base has increased by </w:t>
      </w:r>
      <w:r w:rsidR="00972C27" w:rsidRPr="0087239E">
        <w:t>approximately $1 billion through 2018 on a 13-month average basis</w:t>
      </w:r>
      <w:r w:rsidR="00505E7D" w:rsidRPr="0087239E">
        <w:t xml:space="preserve"> and is expected to further increase </w:t>
      </w:r>
      <w:r w:rsidR="006B26B2" w:rsidRPr="0087239E">
        <w:t xml:space="preserve">an </w:t>
      </w:r>
      <w:r w:rsidR="00C70593" w:rsidRPr="0087239E">
        <w:t>additional $</w:t>
      </w:r>
      <w:r w:rsidR="0087239E" w:rsidRPr="0087239E">
        <w:t>4.8</w:t>
      </w:r>
      <w:r w:rsidR="00C95996" w:rsidRPr="0087239E">
        <w:t xml:space="preserve"> </w:t>
      </w:r>
      <w:r w:rsidR="00505E7D" w:rsidRPr="0087239E">
        <w:t>billion</w:t>
      </w:r>
      <w:r w:rsidR="00505E7D">
        <w:t xml:space="preserve"> through 2022</w:t>
      </w:r>
      <w:r w:rsidR="00537DB9">
        <w:t>.</w:t>
      </w:r>
      <w:r w:rsidR="00537DB9" w:rsidRPr="00D40436">
        <w:t xml:space="preserve">  </w:t>
      </w:r>
      <w:r w:rsidR="00505E7D" w:rsidRPr="00505E7D">
        <w:t>The increase</w:t>
      </w:r>
      <w:r w:rsidR="00C95996">
        <w:t>s for prior and future rate base are</w:t>
      </w:r>
      <w:r w:rsidR="00505E7D" w:rsidRPr="00505E7D">
        <w:t xml:space="preserve"> </w:t>
      </w:r>
      <w:r w:rsidR="00972C27" w:rsidRPr="00D40436">
        <w:t xml:space="preserve">primarily driven by </w:t>
      </w:r>
      <w:r w:rsidR="00972C27">
        <w:t xml:space="preserve">continued </w:t>
      </w:r>
      <w:r w:rsidR="00972C27" w:rsidRPr="00D40436">
        <w:t xml:space="preserve">investment in </w:t>
      </w:r>
      <w:r w:rsidR="00972C27">
        <w:t>the production</w:t>
      </w:r>
      <w:r w:rsidR="00586E87">
        <w:t>, transmission</w:t>
      </w:r>
      <w:r w:rsidR="00972C27">
        <w:t xml:space="preserve"> and delivery of clean, safe, </w:t>
      </w:r>
      <w:r w:rsidR="00A276A2">
        <w:t xml:space="preserve">and </w:t>
      </w:r>
      <w:r w:rsidR="00972C27">
        <w:t>reliable electricity to our customers</w:t>
      </w:r>
      <w:r w:rsidR="00505E7D">
        <w:t xml:space="preserve"> offset by deferred tax liabilities and </w:t>
      </w:r>
      <w:r w:rsidR="00AE2260">
        <w:t>accumulated depreciation</w:t>
      </w:r>
      <w:r w:rsidR="00972C27" w:rsidRPr="00D40436">
        <w:t>.</w:t>
      </w:r>
      <w:r w:rsidR="00396A5C" w:rsidRPr="00396A5C">
        <w:t xml:space="preserve"> </w:t>
      </w:r>
      <w:r w:rsidRPr="008D39CA">
        <w:t>The annual revenue requirement caused by th</w:t>
      </w:r>
      <w:r w:rsidR="00C95996">
        <w:t>ese</w:t>
      </w:r>
      <w:r w:rsidRPr="008D39CA">
        <w:t xml:space="preserve"> investment</w:t>
      </w:r>
      <w:r w:rsidR="00C95996">
        <w:t>s</w:t>
      </w:r>
      <w:r w:rsidR="00AE2260">
        <w:t>, including the associated depreciation and property taxes,</w:t>
      </w:r>
      <w:r w:rsidRPr="008D39CA">
        <w:t xml:space="preserve"> is </w:t>
      </w:r>
      <w:r w:rsidR="006B26B2">
        <w:t>included</w:t>
      </w:r>
      <w:r w:rsidR="006B26B2" w:rsidRPr="008D39CA">
        <w:t xml:space="preserve"> </w:t>
      </w:r>
      <w:r w:rsidRPr="008D39CA">
        <w:t>in the first column.</w:t>
      </w:r>
    </w:p>
    <w:p w14:paraId="4E4CA99C" w14:textId="77777777" w:rsidR="00EC0FCF" w:rsidRDefault="00EC0FCF" w:rsidP="00F95E6A">
      <w:pPr>
        <w:pStyle w:val="BodyText"/>
        <w:spacing w:before="0" w:after="0" w:line="360" w:lineRule="auto"/>
        <w:ind w:left="720" w:firstLine="0"/>
      </w:pPr>
    </w:p>
    <w:p w14:paraId="054F9CF6" w14:textId="22BF286B" w:rsidR="008D39CA" w:rsidRDefault="008D39CA" w:rsidP="008D39CA">
      <w:pPr>
        <w:pStyle w:val="BodyText"/>
        <w:spacing w:before="0" w:after="0" w:line="360" w:lineRule="auto"/>
        <w:ind w:left="720" w:hanging="720"/>
      </w:pPr>
      <w:r>
        <w:tab/>
      </w:r>
      <w:r w:rsidR="00646C40">
        <w:t xml:space="preserve">The next largest factor </w:t>
      </w:r>
      <w:r w:rsidR="00C3110D" w:rsidRPr="008D39CA">
        <w:t>is the need to amortize</w:t>
      </w:r>
      <w:r w:rsidR="00BB69EA">
        <w:t xml:space="preserve"> and recover</w:t>
      </w:r>
      <w:r w:rsidR="00C3110D" w:rsidRPr="008D39CA">
        <w:t xml:space="preserve"> the </w:t>
      </w:r>
      <w:r w:rsidR="00BB69EA">
        <w:t>deferred</w:t>
      </w:r>
      <w:r w:rsidR="00BB69EA" w:rsidRPr="008D39CA">
        <w:t xml:space="preserve"> </w:t>
      </w:r>
      <w:r w:rsidR="00C3110D" w:rsidRPr="008D39CA">
        <w:t>$449</w:t>
      </w:r>
      <w:r w:rsidR="00AE2260">
        <w:t xml:space="preserve"> </w:t>
      </w:r>
      <w:r w:rsidR="006D66A0">
        <w:t xml:space="preserve">million </w:t>
      </w:r>
      <w:r w:rsidR="00AE2260">
        <w:t>balance</w:t>
      </w:r>
      <w:r w:rsidR="00C3110D" w:rsidRPr="008D39CA">
        <w:t xml:space="preserve"> </w:t>
      </w:r>
      <w:r w:rsidR="00C3110D">
        <w:t>in storm damage costs including</w:t>
      </w:r>
      <w:r w:rsidR="00C3110D" w:rsidRPr="008D39CA">
        <w:t xml:space="preserve"> </w:t>
      </w:r>
      <w:r w:rsidRPr="008D39CA">
        <w:t>four major storms since 201</w:t>
      </w:r>
      <w:r w:rsidR="00626C5D">
        <w:t>3</w:t>
      </w:r>
      <w:r w:rsidRPr="008D39CA">
        <w:t>.  We propose to amortize that</w:t>
      </w:r>
      <w:r w:rsidR="00505E7D">
        <w:t xml:space="preserve"> amount</w:t>
      </w:r>
      <w:r w:rsidRPr="008D39CA">
        <w:t xml:space="preserve"> over three years</w:t>
      </w:r>
      <w:r w:rsidR="00505E7D">
        <w:t xml:space="preserve"> ($150 million annually) </w:t>
      </w:r>
      <w:r w:rsidRPr="008D39CA">
        <w:t xml:space="preserve">and also set a new level </w:t>
      </w:r>
      <w:r w:rsidR="00AE2260">
        <w:t xml:space="preserve">of </w:t>
      </w:r>
      <w:r w:rsidR="00AE2260">
        <w:lastRenderedPageBreak/>
        <w:t xml:space="preserve">projected </w:t>
      </w:r>
      <w:r w:rsidRPr="008D39CA">
        <w:t xml:space="preserve">storm </w:t>
      </w:r>
      <w:r w:rsidR="00A77B5B">
        <w:t>accrual</w:t>
      </w:r>
      <w:r w:rsidRPr="008D39CA">
        <w:t xml:space="preserve"> at $64 million annually to better reflect anticipated </w:t>
      </w:r>
      <w:r w:rsidR="006D66A0">
        <w:t xml:space="preserve">costs </w:t>
      </w:r>
      <w:r w:rsidR="00505E7D">
        <w:t>of future storms</w:t>
      </w:r>
      <w:r w:rsidRPr="008D39CA">
        <w:t>.</w:t>
      </w:r>
    </w:p>
    <w:p w14:paraId="41C82203" w14:textId="4769C5B4" w:rsidR="00646C40" w:rsidRDefault="00646C40" w:rsidP="008D39CA">
      <w:pPr>
        <w:pStyle w:val="BodyText"/>
        <w:spacing w:before="0" w:after="0" w:line="360" w:lineRule="auto"/>
        <w:ind w:left="720" w:hanging="720"/>
      </w:pPr>
    </w:p>
    <w:p w14:paraId="5A453FFD" w14:textId="65BD431B" w:rsidR="008D39CA" w:rsidRDefault="00646C40" w:rsidP="002322D2">
      <w:pPr>
        <w:pStyle w:val="BodyText"/>
        <w:spacing w:before="0" w:after="0" w:line="360" w:lineRule="auto"/>
        <w:ind w:left="720" w:firstLine="0"/>
      </w:pPr>
      <w:r>
        <w:t xml:space="preserve">The third </w:t>
      </w:r>
      <w:r w:rsidR="00EE1D35">
        <w:t xml:space="preserve">major cost driver is the </w:t>
      </w:r>
      <w:r>
        <w:t xml:space="preserve">need to update our </w:t>
      </w:r>
      <w:r w:rsidRPr="008D39CA">
        <w:t xml:space="preserve">depreciation </w:t>
      </w:r>
      <w:r>
        <w:t>expenses to account for current conditions.</w:t>
      </w:r>
      <w:r w:rsidRPr="008D39CA">
        <w:t xml:space="preserve">  For example, </w:t>
      </w:r>
      <w:r>
        <w:t xml:space="preserve">the </w:t>
      </w:r>
      <w:r w:rsidRPr="008D39CA">
        <w:t xml:space="preserve">depreciation rates </w:t>
      </w:r>
      <w:r>
        <w:t>set in the 2013 Rate Case Order must</w:t>
      </w:r>
      <w:r w:rsidRPr="008D39CA">
        <w:t xml:space="preserve"> be adjusted to reflect updated estimates </w:t>
      </w:r>
      <w:r w:rsidR="0016510C">
        <w:t>for</w:t>
      </w:r>
      <w:r w:rsidRPr="008D39CA">
        <w:t xml:space="preserve"> service lives and removal costs.  </w:t>
      </w:r>
    </w:p>
    <w:p w14:paraId="28C4529A" w14:textId="77777777" w:rsidR="002322D2" w:rsidRDefault="002322D2" w:rsidP="002322D2">
      <w:pPr>
        <w:pStyle w:val="BodyText"/>
        <w:spacing w:before="0" w:after="0" w:line="360" w:lineRule="auto"/>
        <w:ind w:left="720" w:firstLine="0"/>
      </w:pPr>
    </w:p>
    <w:p w14:paraId="2DB4B6B6" w14:textId="144A83A6" w:rsidR="008D39CA" w:rsidRDefault="008D39CA" w:rsidP="008D39CA">
      <w:pPr>
        <w:pStyle w:val="BodyText"/>
        <w:spacing w:before="0" w:after="0" w:line="360" w:lineRule="auto"/>
        <w:ind w:left="720" w:hanging="720"/>
      </w:pPr>
      <w:r>
        <w:tab/>
      </w:r>
      <w:r w:rsidR="00D337C0">
        <w:t>Another</w:t>
      </w:r>
      <w:r w:rsidR="006D66A0">
        <w:t xml:space="preserve"> </w:t>
      </w:r>
      <w:r w:rsidRPr="008D39CA">
        <w:t xml:space="preserve">major cost driver is the </w:t>
      </w:r>
      <w:bookmarkStart w:id="6" w:name="_Hlk12259056"/>
      <w:r w:rsidRPr="008D39CA">
        <w:t xml:space="preserve">need to address incremental CCR ARO compliance costs that the Company is incurring to comply with state and federal regulations.  </w:t>
      </w:r>
      <w:bookmarkEnd w:id="6"/>
      <w:r w:rsidRPr="008D39CA">
        <w:t>The Company’s proposed plan for addressing these</w:t>
      </w:r>
      <w:r w:rsidR="00873EFF">
        <w:t>,</w:t>
      </w:r>
      <w:r w:rsidRPr="008D39CA">
        <w:t xml:space="preserve"> as well </w:t>
      </w:r>
      <w:r w:rsidR="00FE4F04">
        <w:t xml:space="preserve">as </w:t>
      </w:r>
      <w:r w:rsidRPr="008D39CA">
        <w:t>other environmental compliance</w:t>
      </w:r>
      <w:r w:rsidR="006D66A0">
        <w:t xml:space="preserve"> costs, </w:t>
      </w:r>
      <w:r w:rsidRPr="008D39CA">
        <w:t xml:space="preserve">was included in the Company’s Environmental Compliance Strategy </w:t>
      </w:r>
      <w:r w:rsidR="0057685B">
        <w:t xml:space="preserve">(“ECS”) </w:t>
      </w:r>
      <w:r w:rsidRPr="008D39CA">
        <w:t xml:space="preserve">in </w:t>
      </w:r>
      <w:r w:rsidR="002322D2">
        <w:t>the 2019 IRP</w:t>
      </w:r>
      <w:r w:rsidRPr="008D39CA">
        <w:t xml:space="preserve">.  </w:t>
      </w:r>
      <w:r w:rsidR="00D337C0">
        <w:t>The Company’s proposed methodology for recovering these costs is described in more detail later in the testimony.</w:t>
      </w:r>
    </w:p>
    <w:p w14:paraId="58044759" w14:textId="701CB0E1" w:rsidR="002322D2" w:rsidRDefault="002322D2" w:rsidP="008D39CA">
      <w:pPr>
        <w:pStyle w:val="BodyText"/>
        <w:spacing w:before="0" w:after="0" w:line="360" w:lineRule="auto"/>
        <w:ind w:left="720" w:hanging="720"/>
      </w:pPr>
    </w:p>
    <w:p w14:paraId="5CCC0187" w14:textId="6B11B432" w:rsidR="002322D2" w:rsidRDefault="002322D2" w:rsidP="002322D2">
      <w:pPr>
        <w:pStyle w:val="BodyText"/>
        <w:spacing w:before="0" w:after="0" w:line="360" w:lineRule="auto"/>
        <w:ind w:left="720" w:firstLine="0"/>
      </w:pPr>
      <w:r w:rsidRPr="008D39CA">
        <w:t xml:space="preserve">The Company is also </w:t>
      </w:r>
      <w:r>
        <w:t>proposing</w:t>
      </w:r>
      <w:r w:rsidRPr="008D39CA">
        <w:t xml:space="preserve"> reasonable periods for amortization of certain regulatory assets </w:t>
      </w:r>
      <w:r>
        <w:t xml:space="preserve">previously </w:t>
      </w:r>
      <w:r w:rsidR="00A05BE5">
        <w:t xml:space="preserve">approved </w:t>
      </w:r>
      <w:r>
        <w:t xml:space="preserve">by the Commission </w:t>
      </w:r>
      <w:r w:rsidR="00A05BE5">
        <w:t>and</w:t>
      </w:r>
      <w:r>
        <w:t xml:space="preserve"> </w:t>
      </w:r>
      <w:r w:rsidR="00A05BE5">
        <w:t xml:space="preserve">those contained </w:t>
      </w:r>
      <w:r>
        <w:t xml:space="preserve">in the 2019 IRP </w:t>
      </w:r>
      <w:r w:rsidR="00A05BE5">
        <w:t xml:space="preserve">Stipulation </w:t>
      </w:r>
      <w:r w:rsidRPr="008D39CA">
        <w:t xml:space="preserve">such as obsolete inventory of decertified plants, future nuclear costs, and the remaining net book values of </w:t>
      </w:r>
      <w:r>
        <w:t xml:space="preserve">certain retired </w:t>
      </w:r>
      <w:r w:rsidRPr="008D39CA">
        <w:t>plants. The case</w:t>
      </w:r>
      <w:r w:rsidR="00A61784">
        <w:t>,</w:t>
      </w:r>
      <w:r w:rsidRPr="008D39CA">
        <w:t xml:space="preserve"> as filed</w:t>
      </w:r>
      <w:r w:rsidR="00A61784">
        <w:t>,</w:t>
      </w:r>
      <w:r w:rsidRPr="008D39CA">
        <w:t xml:space="preserve"> will seek to fully amortize these regulatory assets in a timely manner</w:t>
      </w:r>
      <w:r>
        <w:t xml:space="preserve"> consistent with the </w:t>
      </w:r>
      <w:r w:rsidR="00265581">
        <w:t>three</w:t>
      </w:r>
      <w:r>
        <w:t xml:space="preserve">-year rate order under the proposed ARP, except for the net book value of Plant Hammond Units 1-4, which we have proposed to amortize over the </w:t>
      </w:r>
      <w:r w:rsidR="00AD798D">
        <w:t xml:space="preserve">remaining useful </w:t>
      </w:r>
      <w:r>
        <w:t>lives of the units as approved in the 2013 Rate Case Order.</w:t>
      </w:r>
    </w:p>
    <w:p w14:paraId="0BB9388B" w14:textId="4E459D3D" w:rsidR="00393A02" w:rsidRDefault="00393A02" w:rsidP="008C4FA1">
      <w:pPr>
        <w:pStyle w:val="BodyText"/>
        <w:spacing w:before="0" w:after="0" w:line="360" w:lineRule="auto"/>
        <w:ind w:firstLine="0"/>
      </w:pPr>
    </w:p>
    <w:p w14:paraId="2BA50B54" w14:textId="5EB305F8" w:rsidR="00FA0866" w:rsidRDefault="008D39CA" w:rsidP="00393A02">
      <w:pPr>
        <w:pStyle w:val="BodyText"/>
        <w:spacing w:before="0" w:after="0" w:line="360" w:lineRule="auto"/>
        <w:ind w:left="720" w:hanging="720"/>
      </w:pPr>
      <w:r>
        <w:tab/>
      </w:r>
      <w:r w:rsidR="00111578">
        <w:t>While the Tax Reform Act provided sizable benefits to our customers, it also adversely affected the Company’s credit metrics</w:t>
      </w:r>
      <w:r w:rsidR="00AC3E66">
        <w:t xml:space="preserve"> requiring a change in equity ratio.  </w:t>
      </w:r>
      <w:r w:rsidR="00393A02" w:rsidRPr="00844FFB">
        <w:t>As will be explained in more detail later in this testimony</w:t>
      </w:r>
      <w:r w:rsidR="00DE15E0" w:rsidRPr="00844FFB">
        <w:t xml:space="preserve"> as well as in the </w:t>
      </w:r>
      <w:r w:rsidR="00E67254">
        <w:t>t</w:t>
      </w:r>
      <w:r w:rsidR="00DE15E0" w:rsidRPr="00844FFB">
        <w:t>estimon</w:t>
      </w:r>
      <w:r w:rsidR="00EC2377">
        <w:t xml:space="preserve">ies </w:t>
      </w:r>
      <w:r w:rsidR="00DE15E0" w:rsidRPr="00844FFB">
        <w:t xml:space="preserve">of </w:t>
      </w:r>
      <w:r w:rsidR="0075246F" w:rsidRPr="00844FFB">
        <w:t xml:space="preserve">Dr. Vander Weide and </w:t>
      </w:r>
      <w:r w:rsidR="00EC2377">
        <w:t xml:space="preserve">Mr. </w:t>
      </w:r>
      <w:r w:rsidR="00DE15E0" w:rsidRPr="00844FFB">
        <w:t>Fetter</w:t>
      </w:r>
      <w:r w:rsidR="00393A02" w:rsidRPr="00844FFB">
        <w:t>, th</w:t>
      </w:r>
      <w:r w:rsidR="00DD5E45" w:rsidRPr="00844FFB">
        <w:t>e capital structure</w:t>
      </w:r>
      <w:r w:rsidR="00393A02" w:rsidRPr="00844FFB">
        <w:t xml:space="preserve"> </w:t>
      </w:r>
      <w:r w:rsidR="00DD5E45" w:rsidRPr="00844FFB">
        <w:t xml:space="preserve">and associated </w:t>
      </w:r>
      <w:r w:rsidR="001F6C28" w:rsidRPr="00844FFB">
        <w:t>return on equity</w:t>
      </w:r>
      <w:r w:rsidR="00A20240" w:rsidRPr="00844FFB">
        <w:t xml:space="preserve"> (“ROE”)</w:t>
      </w:r>
      <w:r w:rsidR="00DD5E45" w:rsidRPr="00844FFB">
        <w:t xml:space="preserve"> </w:t>
      </w:r>
      <w:r w:rsidR="001F6C28" w:rsidRPr="00844FFB">
        <w:t>proposed in this</w:t>
      </w:r>
      <w:r w:rsidR="00DD5E45" w:rsidRPr="00844FFB">
        <w:t xml:space="preserve"> case </w:t>
      </w:r>
      <w:r w:rsidR="001F6C28" w:rsidRPr="00844FFB">
        <w:t>are critical</w:t>
      </w:r>
      <w:r w:rsidR="00393A02" w:rsidRPr="00844FFB">
        <w:t xml:space="preserve"> to maintain</w:t>
      </w:r>
      <w:r w:rsidR="001F6C28" w:rsidRPr="00844FFB">
        <w:t>ing</w:t>
      </w:r>
      <w:r w:rsidR="00393A02" w:rsidRPr="00844FFB">
        <w:t xml:space="preserve"> our credit ratings.</w:t>
      </w:r>
      <w:r w:rsidR="00393A02" w:rsidRPr="008D39CA">
        <w:t xml:space="preserve">  </w:t>
      </w:r>
      <w:r w:rsidR="00393A02" w:rsidRPr="00922AFF">
        <w:t>If our credit ratings are lowered</w:t>
      </w:r>
      <w:r w:rsidR="00922AFF" w:rsidRPr="00922AFF">
        <w:t>,</w:t>
      </w:r>
      <w:r w:rsidR="00844FFB" w:rsidRPr="00922AFF">
        <w:t xml:space="preserve"> </w:t>
      </w:r>
      <w:r w:rsidR="00270E24" w:rsidRPr="00922AFF">
        <w:t xml:space="preserve">costs </w:t>
      </w:r>
      <w:r w:rsidR="00922AFF" w:rsidRPr="00922AFF">
        <w:t xml:space="preserve">will increase for </w:t>
      </w:r>
      <w:r w:rsidR="00270E24" w:rsidRPr="00922AFF">
        <w:t>all customers.</w:t>
      </w:r>
      <w:r w:rsidR="00270E24">
        <w:t xml:space="preserve"> </w:t>
      </w:r>
    </w:p>
    <w:p w14:paraId="4D910CCD" w14:textId="77777777" w:rsidR="00972C27" w:rsidRPr="004144CE" w:rsidRDefault="00972C27" w:rsidP="00972C27">
      <w:pPr>
        <w:pStyle w:val="BodyText"/>
        <w:spacing w:before="0" w:after="0" w:line="360" w:lineRule="auto"/>
        <w:ind w:left="720" w:hanging="720"/>
        <w:rPr>
          <w:b/>
        </w:rPr>
      </w:pPr>
      <w:r w:rsidRPr="004144CE">
        <w:rPr>
          <w:b/>
        </w:rPr>
        <w:lastRenderedPageBreak/>
        <w:t>Q.</w:t>
      </w:r>
      <w:r w:rsidRPr="004144CE">
        <w:rPr>
          <w:b/>
        </w:rPr>
        <w:tab/>
      </w:r>
      <w:r w:rsidR="00CA1223">
        <w:rPr>
          <w:b/>
        </w:rPr>
        <w:t xml:space="preserve">HAVE SOME </w:t>
      </w:r>
      <w:r w:rsidR="008A3100">
        <w:rPr>
          <w:b/>
        </w:rPr>
        <w:t>FACTORS</w:t>
      </w:r>
      <w:r w:rsidR="002C14E6">
        <w:rPr>
          <w:b/>
        </w:rPr>
        <w:t xml:space="preserve"> </w:t>
      </w:r>
      <w:r w:rsidR="00CA1223">
        <w:rPr>
          <w:b/>
        </w:rPr>
        <w:t xml:space="preserve">HELPED </w:t>
      </w:r>
      <w:r w:rsidR="00653C0F">
        <w:rPr>
          <w:b/>
        </w:rPr>
        <w:t>MITIGATE THE</w:t>
      </w:r>
      <w:r w:rsidR="00CA1223">
        <w:rPr>
          <w:b/>
        </w:rPr>
        <w:t xml:space="preserve"> REVENUE REQUIREMENT</w:t>
      </w:r>
      <w:r w:rsidR="00122F6D">
        <w:rPr>
          <w:b/>
        </w:rPr>
        <w:t xml:space="preserve"> INCREASE</w:t>
      </w:r>
      <w:r w:rsidR="002C14E6">
        <w:rPr>
          <w:b/>
        </w:rPr>
        <w:t>?</w:t>
      </w:r>
    </w:p>
    <w:p w14:paraId="50A4F19C" w14:textId="654BDF0E" w:rsidR="008A3100" w:rsidRDefault="00972C27" w:rsidP="00972C27">
      <w:pPr>
        <w:pStyle w:val="BodyText"/>
        <w:spacing w:before="0" w:after="0" w:line="360" w:lineRule="auto"/>
        <w:ind w:left="720" w:hanging="720"/>
      </w:pPr>
      <w:r>
        <w:t>A.</w:t>
      </w:r>
      <w:r>
        <w:tab/>
      </w:r>
      <w:r w:rsidR="00CA1223">
        <w:t>Yes</w:t>
      </w:r>
      <w:r w:rsidR="00F5312D">
        <w:t xml:space="preserve">.  </w:t>
      </w:r>
      <w:r w:rsidR="008A3100" w:rsidRPr="008A3100">
        <w:t xml:space="preserve">The chart below helps illustrate the factors which have </w:t>
      </w:r>
      <w:r w:rsidR="00EC2377">
        <w:t xml:space="preserve">mitigated the increases in </w:t>
      </w:r>
      <w:r w:rsidR="008A3100" w:rsidRPr="008A3100">
        <w:t>our costs since 2013:</w:t>
      </w:r>
    </w:p>
    <w:p w14:paraId="62D5BF0B" w14:textId="64BBC31A" w:rsidR="00DD1159" w:rsidRDefault="00DD1159" w:rsidP="00972C27">
      <w:pPr>
        <w:pStyle w:val="BodyText"/>
        <w:spacing w:before="0" w:after="0" w:line="360" w:lineRule="auto"/>
        <w:ind w:left="720" w:hanging="720"/>
      </w:pPr>
    </w:p>
    <w:p w14:paraId="3D0EECE0" w14:textId="3F7FD9A7" w:rsidR="008A3100" w:rsidRPr="00C23928" w:rsidRDefault="00777E65" w:rsidP="00381047">
      <w:pPr>
        <w:pStyle w:val="BodyText"/>
        <w:keepNext/>
        <w:spacing w:before="0" w:after="0" w:line="360" w:lineRule="auto"/>
        <w:ind w:left="720" w:hanging="720"/>
        <w:jc w:val="center"/>
        <w:rPr>
          <w:b/>
        </w:rPr>
      </w:pPr>
      <w:r w:rsidRPr="00C23928">
        <w:rPr>
          <w:b/>
        </w:rPr>
        <w:t xml:space="preserve">Chart 2: </w:t>
      </w:r>
      <w:r w:rsidR="00935D38">
        <w:rPr>
          <w:b/>
        </w:rPr>
        <w:t xml:space="preserve">Review of Decreasing Drivers </w:t>
      </w:r>
    </w:p>
    <w:p w14:paraId="11E16FC7" w14:textId="30164ECE" w:rsidR="00D35630" w:rsidRDefault="00D35630" w:rsidP="00D35630">
      <w:pPr>
        <w:pStyle w:val="BodyText"/>
        <w:keepNext/>
        <w:spacing w:before="0" w:after="0"/>
        <w:ind w:left="360" w:firstLine="360"/>
        <w:rPr>
          <w:i/>
          <w:sz w:val="18"/>
          <w:szCs w:val="18"/>
        </w:rPr>
      </w:pPr>
      <w:r w:rsidRPr="00D35630">
        <w:rPr>
          <w:noProof/>
        </w:rPr>
        <w:drawing>
          <wp:anchor distT="0" distB="0" distL="114300" distR="114300" simplePos="0" relativeHeight="251659264" behindDoc="1" locked="0" layoutInCell="1" allowOverlap="1" wp14:anchorId="23783966" wp14:editId="479E1465">
            <wp:simplePos x="0" y="0"/>
            <wp:positionH relativeFrom="column">
              <wp:posOffset>231494</wp:posOffset>
            </wp:positionH>
            <wp:positionV relativeFrom="paragraph">
              <wp:posOffset>2106</wp:posOffset>
            </wp:positionV>
            <wp:extent cx="6155359" cy="3015205"/>
            <wp:effectExtent l="0" t="0" r="0" b="0"/>
            <wp:wrapTight wrapText="bothSides">
              <wp:wrapPolygon edited="0">
                <wp:start x="0" y="0"/>
                <wp:lineTo x="0" y="21427"/>
                <wp:lineTo x="21526" y="21427"/>
                <wp:lineTo x="21526" y="0"/>
                <wp:lineTo x="0" y="0"/>
              </wp:wrapPolygon>
            </wp:wrapTight>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55359" cy="3015205"/>
                    </a:xfrm>
                    <a:prstGeom prst="rect">
                      <a:avLst/>
                    </a:prstGeom>
                  </pic:spPr>
                </pic:pic>
              </a:graphicData>
            </a:graphic>
            <wp14:sizeRelH relativeFrom="page">
              <wp14:pctWidth>0</wp14:pctWidth>
            </wp14:sizeRelH>
            <wp14:sizeRelV relativeFrom="page">
              <wp14:pctHeight>0</wp14:pctHeight>
            </wp14:sizeRelV>
          </wp:anchor>
        </w:drawing>
      </w:r>
      <w:r w:rsidR="00EC0FCF" w:rsidRPr="00EC0FCF">
        <w:rPr>
          <w:i/>
          <w:sz w:val="18"/>
          <w:szCs w:val="18"/>
        </w:rPr>
        <w:t>* O</w:t>
      </w:r>
      <w:r>
        <w:rPr>
          <w:i/>
          <w:sz w:val="18"/>
          <w:szCs w:val="18"/>
        </w:rPr>
        <w:t>&amp;</w:t>
      </w:r>
      <w:r w:rsidR="00EC0FCF" w:rsidRPr="00EC0FCF">
        <w:rPr>
          <w:i/>
          <w:sz w:val="18"/>
          <w:szCs w:val="18"/>
        </w:rPr>
        <w:t xml:space="preserve">M includes </w:t>
      </w:r>
      <w:r>
        <w:rPr>
          <w:i/>
          <w:sz w:val="18"/>
          <w:szCs w:val="18"/>
        </w:rPr>
        <w:t>e</w:t>
      </w:r>
      <w:r w:rsidR="00EC0FCF" w:rsidRPr="00EC0FCF">
        <w:rPr>
          <w:i/>
          <w:sz w:val="18"/>
          <w:szCs w:val="18"/>
        </w:rPr>
        <w:t xml:space="preserve">nvironmental </w:t>
      </w:r>
      <w:r>
        <w:rPr>
          <w:i/>
          <w:sz w:val="18"/>
          <w:szCs w:val="18"/>
        </w:rPr>
        <w:t>r</w:t>
      </w:r>
      <w:r w:rsidR="00EC0FCF" w:rsidRPr="00EC0FCF">
        <w:rPr>
          <w:i/>
          <w:sz w:val="18"/>
          <w:szCs w:val="18"/>
        </w:rPr>
        <w:t>emediation</w:t>
      </w:r>
    </w:p>
    <w:p w14:paraId="00A22C17" w14:textId="57493B48" w:rsidR="008A3100" w:rsidRPr="00EC0FCF" w:rsidRDefault="00D35630" w:rsidP="00D35630">
      <w:pPr>
        <w:pStyle w:val="BodyText"/>
        <w:keepNext/>
        <w:spacing w:before="0" w:after="0"/>
        <w:ind w:left="360" w:firstLine="360"/>
        <w:rPr>
          <w:i/>
          <w:sz w:val="18"/>
          <w:szCs w:val="18"/>
        </w:rPr>
      </w:pPr>
      <w:r>
        <w:rPr>
          <w:i/>
          <w:sz w:val="18"/>
          <w:szCs w:val="18"/>
        </w:rPr>
        <w:t xml:space="preserve">** </w:t>
      </w:r>
      <w:r w:rsidR="00EC0FCF" w:rsidRPr="00EC0FCF">
        <w:rPr>
          <w:i/>
          <w:sz w:val="18"/>
          <w:szCs w:val="18"/>
        </w:rPr>
        <w:t xml:space="preserve">Base Revenues include DSM </w:t>
      </w:r>
      <w:r>
        <w:rPr>
          <w:i/>
          <w:sz w:val="18"/>
          <w:szCs w:val="18"/>
        </w:rPr>
        <w:t>u</w:t>
      </w:r>
      <w:r w:rsidR="00EC0FCF" w:rsidRPr="00EC0FCF">
        <w:rPr>
          <w:i/>
          <w:sz w:val="18"/>
          <w:szCs w:val="18"/>
        </w:rPr>
        <w:t>nder-</w:t>
      </w:r>
      <w:r>
        <w:rPr>
          <w:i/>
          <w:sz w:val="18"/>
          <w:szCs w:val="18"/>
        </w:rPr>
        <w:t>r</w:t>
      </w:r>
      <w:r w:rsidR="00EC0FCF" w:rsidRPr="00EC0FCF">
        <w:rPr>
          <w:i/>
          <w:sz w:val="18"/>
          <w:szCs w:val="18"/>
        </w:rPr>
        <w:t>ecovery</w:t>
      </w:r>
    </w:p>
    <w:p w14:paraId="45ACF163" w14:textId="77777777" w:rsidR="00EC0FCF" w:rsidRDefault="00EC0FCF" w:rsidP="00D234F7">
      <w:pPr>
        <w:pStyle w:val="BodyText"/>
        <w:spacing w:before="0" w:after="0" w:line="360" w:lineRule="auto"/>
        <w:ind w:left="720" w:firstLine="0"/>
      </w:pPr>
    </w:p>
    <w:p w14:paraId="6882123E" w14:textId="0C613C5F" w:rsidR="00BF0263" w:rsidRDefault="001D17EC" w:rsidP="00D234F7">
      <w:pPr>
        <w:pStyle w:val="BodyText"/>
        <w:spacing w:before="0" w:after="0" w:line="360" w:lineRule="auto"/>
        <w:ind w:left="720" w:firstLine="0"/>
      </w:pPr>
      <w:r w:rsidRPr="001D17EC">
        <w:t xml:space="preserve">By far, the factor having the largest downward impact on our revenue requirement </w:t>
      </w:r>
      <w:r w:rsidR="00122F6D">
        <w:t>is</w:t>
      </w:r>
      <w:r w:rsidRPr="001D17EC">
        <w:t xml:space="preserve"> </w:t>
      </w:r>
      <w:r w:rsidR="000D0639" w:rsidRPr="001D17EC">
        <w:t xml:space="preserve">the </w:t>
      </w:r>
      <w:r w:rsidR="000D0639">
        <w:t>customer</w:t>
      </w:r>
      <w:r w:rsidR="00A35669">
        <w:t xml:space="preserve"> benefits </w:t>
      </w:r>
      <w:r w:rsidR="00684AA7">
        <w:t>from</w:t>
      </w:r>
      <w:r w:rsidRPr="001D17EC">
        <w:t xml:space="preserve"> the</w:t>
      </w:r>
      <w:r>
        <w:t xml:space="preserve"> </w:t>
      </w:r>
      <w:r w:rsidR="004A761A">
        <w:t>Tax Reform Act</w:t>
      </w:r>
      <w:r>
        <w:t xml:space="preserve"> which</w:t>
      </w:r>
      <w:r w:rsidR="006E74DC">
        <w:t xml:space="preserve"> reduced the </w:t>
      </w:r>
      <w:r w:rsidR="006C184F">
        <w:t xml:space="preserve">corporate </w:t>
      </w:r>
      <w:r w:rsidR="006B26B2">
        <w:t xml:space="preserve">federal </w:t>
      </w:r>
      <w:r w:rsidR="006E74DC">
        <w:t>income tax rate from 35% to 21</w:t>
      </w:r>
      <w:r w:rsidR="00186CEE">
        <w:t>%</w:t>
      </w:r>
      <w:r w:rsidR="00F5312D">
        <w:t xml:space="preserve">.  </w:t>
      </w:r>
      <w:r w:rsidR="006C184F">
        <w:t xml:space="preserve">To date, customers have </w:t>
      </w:r>
      <w:r w:rsidR="000D0639">
        <w:t xml:space="preserve">received </w:t>
      </w:r>
      <w:r w:rsidR="0009736B">
        <w:t>approximately $</w:t>
      </w:r>
      <w:r w:rsidR="00EE1D35">
        <w:t>2</w:t>
      </w:r>
      <w:r w:rsidR="00F716A0">
        <w:t>25</w:t>
      </w:r>
      <w:r w:rsidR="0009736B">
        <w:t xml:space="preserve"> million</w:t>
      </w:r>
      <w:r w:rsidR="006C184F">
        <w:t xml:space="preserve"> through refunds provided in </w:t>
      </w:r>
      <w:r w:rsidR="00653F7D">
        <w:t xml:space="preserve">October </w:t>
      </w:r>
      <w:r w:rsidR="006C184F">
        <w:t xml:space="preserve">2018 and </w:t>
      </w:r>
      <w:r w:rsidR="000D0639">
        <w:t>June 2019 and</w:t>
      </w:r>
      <w:r w:rsidR="0009736B">
        <w:t xml:space="preserve"> will </w:t>
      </w:r>
      <w:r w:rsidR="000D0639">
        <w:t>receive</w:t>
      </w:r>
      <w:r w:rsidR="0009736B">
        <w:t xml:space="preserve"> additional refund</w:t>
      </w:r>
      <w:r w:rsidR="000D0639">
        <w:t xml:space="preserve">s </w:t>
      </w:r>
      <w:r w:rsidR="0009736B">
        <w:t>of approximately $10</w:t>
      </w:r>
      <w:r w:rsidR="00F716A0">
        <w:t>5</w:t>
      </w:r>
      <w:r w:rsidR="0009736B">
        <w:t xml:space="preserve"> million in February 2020</w:t>
      </w:r>
      <w:r w:rsidR="006C184F">
        <w:t>.</w:t>
      </w:r>
      <w:r w:rsidR="00186CEE">
        <w:t xml:space="preserve">  </w:t>
      </w:r>
      <w:r w:rsidR="00AB2FC7">
        <w:t xml:space="preserve">This </w:t>
      </w:r>
      <w:r w:rsidR="00CE3BE9">
        <w:t>translates to</w:t>
      </w:r>
      <w:r w:rsidR="00AB2FC7">
        <w:t xml:space="preserve"> </w:t>
      </w:r>
      <w:r w:rsidR="005259D2">
        <w:t xml:space="preserve">approximately </w:t>
      </w:r>
      <w:r w:rsidR="00AB2FC7">
        <w:t>$</w:t>
      </w:r>
      <w:r w:rsidR="00BB2839">
        <w:t xml:space="preserve">70 </w:t>
      </w:r>
      <w:r w:rsidR="00AB2FC7">
        <w:t xml:space="preserve">in refunds for the </w:t>
      </w:r>
      <w:r w:rsidR="0046544B">
        <w:t>typical</w:t>
      </w:r>
      <w:r w:rsidR="00AB2FC7">
        <w:t xml:space="preserve"> residential customer.  </w:t>
      </w:r>
      <w:r w:rsidR="006C184F">
        <w:t xml:space="preserve">In total, </w:t>
      </w:r>
      <w:r w:rsidR="00186CEE">
        <w:t>the T</w:t>
      </w:r>
      <w:r w:rsidR="004A761A">
        <w:t>ax Reform Act</w:t>
      </w:r>
      <w:r w:rsidR="00186CEE">
        <w:t xml:space="preserve"> </w:t>
      </w:r>
      <w:r w:rsidR="00AB2FC7">
        <w:t xml:space="preserve">will </w:t>
      </w:r>
      <w:r w:rsidR="00122F6D">
        <w:t xml:space="preserve">provide </w:t>
      </w:r>
      <w:r w:rsidR="00186CEE">
        <w:t xml:space="preserve">almost </w:t>
      </w:r>
      <w:r w:rsidR="00BF0263">
        <w:t>$</w:t>
      </w:r>
      <w:r w:rsidR="006C184F">
        <w:t>2.</w:t>
      </w:r>
      <w:r w:rsidR="00AC1AE5">
        <w:t>5</w:t>
      </w:r>
      <w:r w:rsidR="00186CEE">
        <w:t xml:space="preserve"> </w:t>
      </w:r>
      <w:r w:rsidR="00BF0263">
        <w:t>billion</w:t>
      </w:r>
      <w:r w:rsidR="00186CEE">
        <w:t xml:space="preserve"> of tax benefits to </w:t>
      </w:r>
      <w:r w:rsidR="006156DC">
        <w:t xml:space="preserve">Georgia Power </w:t>
      </w:r>
      <w:r w:rsidR="00D22013">
        <w:t>c</w:t>
      </w:r>
      <w:r w:rsidR="00186CEE">
        <w:t>ustomers</w:t>
      </w:r>
      <w:r w:rsidR="00122F6D">
        <w:t xml:space="preserve"> through 2022</w:t>
      </w:r>
      <w:r w:rsidR="00186CEE">
        <w:t>.</w:t>
      </w:r>
      <w:r w:rsidR="00D22013">
        <w:t xml:space="preserve"> </w:t>
      </w:r>
      <w:bookmarkStart w:id="7" w:name="_Hlk506473464"/>
      <w:r w:rsidR="00733C7D">
        <w:t xml:space="preserve"> As a result, </w:t>
      </w:r>
      <w:r w:rsidR="0018067D">
        <w:t xml:space="preserve">the Company is requesting </w:t>
      </w:r>
      <w:r w:rsidR="00733C7D">
        <w:t>s</w:t>
      </w:r>
      <w:r w:rsidR="00186CEE" w:rsidRPr="007F4BCB">
        <w:t>ubstantially lower rates</w:t>
      </w:r>
      <w:r w:rsidR="006C184F">
        <w:t xml:space="preserve"> </w:t>
      </w:r>
      <w:r w:rsidR="00186CEE" w:rsidRPr="007F4BCB">
        <w:t>than would have otherwise been</w:t>
      </w:r>
      <w:r w:rsidR="00C3110D">
        <w:t xml:space="preserve"> re</w:t>
      </w:r>
      <w:r w:rsidR="00733C7D">
        <w:t>quired</w:t>
      </w:r>
      <w:r w:rsidR="00186CEE" w:rsidRPr="007F4BCB">
        <w:t xml:space="preserve"> beginning in 2020.</w:t>
      </w:r>
    </w:p>
    <w:bookmarkEnd w:id="7"/>
    <w:p w14:paraId="44B06051" w14:textId="54922E15" w:rsidR="00FE2F2D" w:rsidRDefault="001020BB" w:rsidP="00BF0263">
      <w:pPr>
        <w:pStyle w:val="BodyText"/>
        <w:spacing w:before="0" w:after="0" w:line="360" w:lineRule="auto"/>
        <w:ind w:left="720" w:firstLine="0"/>
      </w:pPr>
      <w:r>
        <w:lastRenderedPageBreak/>
        <w:t xml:space="preserve">During </w:t>
      </w:r>
      <w:r w:rsidR="006E74DC">
        <w:t>the</w:t>
      </w:r>
      <w:r>
        <w:t xml:space="preserve"> consideration of the</w:t>
      </w:r>
      <w:r w:rsidR="006E74DC">
        <w:t xml:space="preserve"> </w:t>
      </w:r>
      <w:r w:rsidR="004A761A">
        <w:t xml:space="preserve">Tax Reform </w:t>
      </w:r>
      <w:r w:rsidR="0028739B">
        <w:t xml:space="preserve">Act </w:t>
      </w:r>
      <w:r>
        <w:t xml:space="preserve">by the </w:t>
      </w:r>
      <w:r w:rsidR="006E74DC">
        <w:t>Commission</w:t>
      </w:r>
      <w:r w:rsidR="00BF0263">
        <w:t xml:space="preserve">, </w:t>
      </w:r>
      <w:r>
        <w:t xml:space="preserve">the Company explained that the reduction to federal and state </w:t>
      </w:r>
      <w:r w:rsidR="00045869">
        <w:t xml:space="preserve">income </w:t>
      </w:r>
      <w:r>
        <w:t>tax rates</w:t>
      </w:r>
      <w:r w:rsidR="00167B33">
        <w:t xml:space="preserve"> </w:t>
      </w:r>
      <w:r w:rsidR="00BF0263">
        <w:t>have a corresponding and significant impact on the Company’s</w:t>
      </w:r>
      <w:r w:rsidR="00C3110D">
        <w:t xml:space="preserve"> credit</w:t>
      </w:r>
      <w:r w:rsidR="00BF0263">
        <w:t xml:space="preserve"> metrics if they are not </w:t>
      </w:r>
      <w:r w:rsidR="00C24AC1">
        <w:t xml:space="preserve">addressed </w:t>
      </w:r>
      <w:r w:rsidR="00BF0263">
        <w:t xml:space="preserve">by a modest increase in </w:t>
      </w:r>
      <w:r w:rsidR="00AB2FC7">
        <w:t xml:space="preserve">the </w:t>
      </w:r>
      <w:r w:rsidR="00BF0263">
        <w:t>equity</w:t>
      </w:r>
      <w:r w:rsidR="00AB2FC7">
        <w:t xml:space="preserve"> ratio</w:t>
      </w:r>
      <w:r w:rsidR="00BF0263">
        <w:t xml:space="preserve"> </w:t>
      </w:r>
      <w:r w:rsidR="00AB2FC7">
        <w:t xml:space="preserve">component of </w:t>
      </w:r>
      <w:r w:rsidR="00BF0263">
        <w:t>the Company’s capital structure</w:t>
      </w:r>
      <w:r w:rsidR="00F5312D">
        <w:t>.</w:t>
      </w:r>
      <w:r w:rsidR="00F5312D" w:rsidRPr="00BF0263">
        <w:t xml:space="preserve">  </w:t>
      </w:r>
      <w:r w:rsidR="00BF0263" w:rsidRPr="00BF0263">
        <w:t xml:space="preserve">This adjustment </w:t>
      </w:r>
      <w:r w:rsidR="00C75AA0">
        <w:t>to the Company</w:t>
      </w:r>
      <w:r w:rsidR="00167B33">
        <w:t>’s</w:t>
      </w:r>
      <w:r w:rsidR="00C75AA0">
        <w:t xml:space="preserve"> capital structure </w:t>
      </w:r>
      <w:r w:rsidR="00BF0263" w:rsidRPr="00BF0263">
        <w:t xml:space="preserve">is needed </w:t>
      </w:r>
      <w:r w:rsidR="00D234F7">
        <w:t xml:space="preserve">to </w:t>
      </w:r>
      <w:r w:rsidR="00BF0263" w:rsidRPr="00BF0263">
        <w:t>ensure that the Company maintains the ability to readily access the capital markets at favorable rates</w:t>
      </w:r>
      <w:r w:rsidR="00F5312D" w:rsidRPr="00BF0263">
        <w:t>.</w:t>
      </w:r>
      <w:r w:rsidR="00F5312D">
        <w:t xml:space="preserve">  </w:t>
      </w:r>
      <w:r w:rsidR="00153A6C">
        <w:t>Without the Commission’s decision</w:t>
      </w:r>
      <w:r>
        <w:t xml:space="preserve"> to adopt </w:t>
      </w:r>
      <w:r w:rsidR="00153A6C">
        <w:t xml:space="preserve">the </w:t>
      </w:r>
      <w:r w:rsidR="00BF0263" w:rsidRPr="00BF0263">
        <w:t xml:space="preserve">Tax Reform </w:t>
      </w:r>
      <w:r>
        <w:t xml:space="preserve">Act </w:t>
      </w:r>
      <w:r w:rsidR="00153A6C">
        <w:t>Settlement</w:t>
      </w:r>
      <w:r>
        <w:t xml:space="preserve"> in Docket No. 36989 (“Tax Reform</w:t>
      </w:r>
      <w:r w:rsidR="00084D1B">
        <w:t xml:space="preserve"> Act</w:t>
      </w:r>
      <w:r>
        <w:t xml:space="preserve"> Settlement”)</w:t>
      </w:r>
      <w:r w:rsidR="00BF0263" w:rsidRPr="00BF0263">
        <w:t xml:space="preserve">, there </w:t>
      </w:r>
      <w:r w:rsidR="00F47ECE">
        <w:t>would have been</w:t>
      </w:r>
      <w:r w:rsidR="00BF0263" w:rsidRPr="00BF0263">
        <w:t xml:space="preserve"> </w:t>
      </w:r>
      <w:r w:rsidR="00733C7D">
        <w:t xml:space="preserve">a </w:t>
      </w:r>
      <w:r w:rsidR="00BF0263" w:rsidRPr="00BF0263">
        <w:t xml:space="preserve">reduction </w:t>
      </w:r>
      <w:r w:rsidR="00167B33">
        <w:t>in</w:t>
      </w:r>
      <w:r w:rsidR="00BF0263" w:rsidRPr="00BF0263">
        <w:t xml:space="preserve"> the </w:t>
      </w:r>
      <w:r w:rsidR="00153A6C" w:rsidRPr="00BF0263">
        <w:t xml:space="preserve">funds </w:t>
      </w:r>
      <w:r w:rsidR="00BF0263" w:rsidRPr="00BF0263">
        <w:t>from operations (“FFO”)</w:t>
      </w:r>
      <w:r w:rsidR="00F5312D" w:rsidRPr="00BF0263">
        <w:t xml:space="preserve">.  </w:t>
      </w:r>
      <w:r w:rsidR="00BF0263" w:rsidRPr="00BF0263">
        <w:t xml:space="preserve">The reduction </w:t>
      </w:r>
      <w:r w:rsidR="00167B33">
        <w:t xml:space="preserve">in </w:t>
      </w:r>
      <w:r w:rsidR="00BF0263" w:rsidRPr="00BF0263">
        <w:t xml:space="preserve">FFO is driven by a combination of </w:t>
      </w:r>
      <w:bookmarkStart w:id="8" w:name="_Hlk11911482"/>
      <w:r w:rsidR="00B66212">
        <w:t>reduced deferred taxes held as</w:t>
      </w:r>
      <w:r w:rsidR="00167B33">
        <w:t xml:space="preserve"> a</w:t>
      </w:r>
      <w:r w:rsidR="00B66212">
        <w:t xml:space="preserve"> result of lower tax rates</w:t>
      </w:r>
      <w:bookmarkEnd w:id="8"/>
      <w:r w:rsidR="00BF0263" w:rsidRPr="00BF0263">
        <w:t>, lower revenue requirements due to the amortization of excess deferred tax benefits, and slower</w:t>
      </w:r>
      <w:r w:rsidR="00D913DD">
        <w:t xml:space="preserve"> tax</w:t>
      </w:r>
      <w:r w:rsidR="00BF0263" w:rsidRPr="00BF0263">
        <w:t xml:space="preserve"> depreciation for future capital investments</w:t>
      </w:r>
      <w:r w:rsidR="00B66212">
        <w:t xml:space="preserve"> </w:t>
      </w:r>
      <w:r w:rsidR="00BF0263" w:rsidRPr="00BF0263">
        <w:t>in the absence of bonus depreciation</w:t>
      </w:r>
      <w:r w:rsidR="00F5312D" w:rsidRPr="00BF0263">
        <w:t xml:space="preserve">.  </w:t>
      </w:r>
      <w:r w:rsidR="00BF0263" w:rsidRPr="00BF0263">
        <w:t>A decrease in cash flows will weaken credit metrics and</w:t>
      </w:r>
      <w:r w:rsidR="00B66212">
        <w:t xml:space="preserve"> </w:t>
      </w:r>
      <w:r w:rsidR="00BF0263" w:rsidRPr="00BF0263">
        <w:t>increase financial pressures on the Company</w:t>
      </w:r>
      <w:r w:rsidR="00B66212">
        <w:t xml:space="preserve"> to the detriment of customers</w:t>
      </w:r>
      <w:r w:rsidR="00BF0263" w:rsidRPr="00BF0263">
        <w:t xml:space="preserve">. </w:t>
      </w:r>
    </w:p>
    <w:p w14:paraId="3D6BEECC" w14:textId="77777777" w:rsidR="006156DC" w:rsidRDefault="006E74DC" w:rsidP="00B77147">
      <w:pPr>
        <w:pStyle w:val="BodyText"/>
        <w:spacing w:before="0" w:after="0" w:line="360" w:lineRule="auto"/>
        <w:ind w:left="720" w:hanging="720"/>
      </w:pPr>
      <w:r>
        <w:t xml:space="preserve">  </w:t>
      </w:r>
    </w:p>
    <w:p w14:paraId="70B4ED1C" w14:textId="34C8EBC7" w:rsidR="00FE2F2D" w:rsidRDefault="00FE2F2D" w:rsidP="006156DC">
      <w:pPr>
        <w:pStyle w:val="BodyText"/>
        <w:spacing w:before="0" w:after="0" w:line="360" w:lineRule="auto"/>
        <w:ind w:left="720" w:firstLine="0"/>
      </w:pPr>
      <w:r w:rsidRPr="007F4BCB">
        <w:t xml:space="preserve">A strong capital structure is critical to the financial health and stability of the Company. </w:t>
      </w:r>
      <w:r w:rsidR="00B77147">
        <w:t xml:space="preserve"> As discussed by </w:t>
      </w:r>
      <w:r w:rsidR="00167B33">
        <w:t>Mr.</w:t>
      </w:r>
      <w:r w:rsidR="00517E88">
        <w:t xml:space="preserve"> </w:t>
      </w:r>
      <w:r w:rsidR="00B77147">
        <w:t xml:space="preserve">Fetter, </w:t>
      </w:r>
      <w:r w:rsidR="00167B33">
        <w:t xml:space="preserve">the </w:t>
      </w:r>
      <w:r w:rsidRPr="007F4BCB">
        <w:t>FFO-to-debt ratio</w:t>
      </w:r>
      <w:r w:rsidR="00733C7D" w:rsidRPr="00733C7D">
        <w:t xml:space="preserve"> </w:t>
      </w:r>
      <w:r w:rsidR="00733C7D">
        <w:t>is a</w:t>
      </w:r>
      <w:r w:rsidR="00733C7D" w:rsidRPr="007F4BCB">
        <w:t xml:space="preserve"> critical credit metric for utilities</w:t>
      </w:r>
      <w:r w:rsidRPr="007F4BCB">
        <w:t>.</w:t>
      </w:r>
      <w:r w:rsidR="00B77147">
        <w:t xml:space="preserve">  In</w:t>
      </w:r>
      <w:r w:rsidR="006156DC">
        <w:t xml:space="preserve"> the Commission’s</w:t>
      </w:r>
      <w:r w:rsidR="00B77147">
        <w:t xml:space="preserve"> </w:t>
      </w:r>
      <w:r w:rsidR="006156DC">
        <w:t>O</w:t>
      </w:r>
      <w:r w:rsidR="00B77147">
        <w:t xml:space="preserve">rder on the </w:t>
      </w:r>
      <w:r w:rsidR="004A761A">
        <w:t>Tax Reform Act</w:t>
      </w:r>
      <w:r w:rsidR="00167B33">
        <w:t>,</w:t>
      </w:r>
      <w:r w:rsidR="00B77147">
        <w:t xml:space="preserve"> the Commission increased the Company’s </w:t>
      </w:r>
      <w:r w:rsidR="00167B33">
        <w:t xml:space="preserve">allowed </w:t>
      </w:r>
      <w:r w:rsidR="00B66212">
        <w:t>equity</w:t>
      </w:r>
      <w:r w:rsidR="00EC6B04">
        <w:t xml:space="preserve"> component</w:t>
      </w:r>
      <w:r w:rsidR="00B66212">
        <w:t xml:space="preserve"> in </w:t>
      </w:r>
      <w:r w:rsidR="00EC6B04">
        <w:t>the</w:t>
      </w:r>
      <w:r w:rsidR="00B66212">
        <w:t xml:space="preserve"> </w:t>
      </w:r>
      <w:r w:rsidR="00B77147">
        <w:t xml:space="preserve">capital structure which correctly recognized the adverse effects the </w:t>
      </w:r>
      <w:r w:rsidR="004A761A">
        <w:t>Tax Reform Act</w:t>
      </w:r>
      <w:r w:rsidR="00B77147">
        <w:t xml:space="preserve"> would have on the Company’s </w:t>
      </w:r>
      <w:r w:rsidR="006156DC">
        <w:t>key</w:t>
      </w:r>
      <w:r w:rsidR="00167B33">
        <w:t xml:space="preserve"> credit</w:t>
      </w:r>
      <w:r w:rsidR="006156DC">
        <w:t xml:space="preserve"> rating metrics.</w:t>
      </w:r>
      <w:r w:rsidR="00395972">
        <w:t xml:space="preserve">  </w:t>
      </w:r>
      <w:r w:rsidR="006156DC">
        <w:t>Similarly, in this case</w:t>
      </w:r>
      <w:r w:rsidR="00395972">
        <w:t>,</w:t>
      </w:r>
      <w:r w:rsidR="006156DC">
        <w:t xml:space="preserve"> the Commission should adopt the recommendation of Dr. Vander Weide on </w:t>
      </w:r>
      <w:r w:rsidR="00EC6B04">
        <w:t xml:space="preserve">the </w:t>
      </w:r>
      <w:r w:rsidR="00A20240">
        <w:t>ROE</w:t>
      </w:r>
      <w:r w:rsidR="00E4062E">
        <w:t xml:space="preserve"> </w:t>
      </w:r>
      <w:r w:rsidR="006156DC">
        <w:t xml:space="preserve">and </w:t>
      </w:r>
      <w:r w:rsidR="00EC6B04">
        <w:t xml:space="preserve">the resulting </w:t>
      </w:r>
      <w:r w:rsidR="006156DC">
        <w:t xml:space="preserve">capital structure to ensure that the Company </w:t>
      </w:r>
      <w:r w:rsidR="00DE15E0">
        <w:t xml:space="preserve">can </w:t>
      </w:r>
      <w:r w:rsidR="006156DC">
        <w:t xml:space="preserve">continue to access capital markets at reasonable rates and terms.  </w:t>
      </w:r>
    </w:p>
    <w:p w14:paraId="67F945AD" w14:textId="77777777" w:rsidR="00BF0263" w:rsidRDefault="00BF0263" w:rsidP="00C23928">
      <w:pPr>
        <w:pStyle w:val="BodyText"/>
        <w:spacing w:before="0" w:after="0" w:line="360" w:lineRule="auto"/>
        <w:ind w:left="720"/>
      </w:pPr>
    </w:p>
    <w:p w14:paraId="64F20B6D" w14:textId="7944D0DF" w:rsidR="00A96485" w:rsidRDefault="00D234F7" w:rsidP="00A96485">
      <w:pPr>
        <w:spacing w:line="360" w:lineRule="auto"/>
        <w:ind w:left="720"/>
      </w:pPr>
      <w:r w:rsidRPr="00BF0263">
        <w:t>Another</w:t>
      </w:r>
      <w:r w:rsidR="00653926">
        <w:t xml:space="preserve"> significant</w:t>
      </w:r>
      <w:r w:rsidRPr="00BF0263">
        <w:t xml:space="preserve"> factor putting downward pressure on our revenue requirements is</w:t>
      </w:r>
      <w:r w:rsidR="00233F43">
        <w:t xml:space="preserve"> the decrease in </w:t>
      </w:r>
      <w:r w:rsidR="006D078E">
        <w:t xml:space="preserve">power </w:t>
      </w:r>
      <w:r w:rsidR="00233F43">
        <w:t xml:space="preserve">purchase </w:t>
      </w:r>
      <w:r w:rsidR="00FA3DE6">
        <w:t>agreement (“PPA”)</w:t>
      </w:r>
      <w:r w:rsidR="00233F43">
        <w:t xml:space="preserve"> expenses </w:t>
      </w:r>
      <w:r w:rsidR="00167B33">
        <w:t xml:space="preserve">primarily driven by </w:t>
      </w:r>
      <w:r w:rsidR="00C3110D">
        <w:t>the expiration of</w:t>
      </w:r>
      <w:r w:rsidRPr="00BF0263">
        <w:t xml:space="preserve"> </w:t>
      </w:r>
      <w:r>
        <w:t xml:space="preserve">two </w:t>
      </w:r>
      <w:r w:rsidR="009D0CAB">
        <w:t>PPAs</w:t>
      </w:r>
      <w:r>
        <w:t xml:space="preserve">.  This will save the Company and our customers </w:t>
      </w:r>
      <w:r w:rsidR="00C3110D" w:rsidRPr="00BF0263">
        <w:t>a</w:t>
      </w:r>
      <w:r w:rsidR="00C3110D">
        <w:t>pproximately</w:t>
      </w:r>
      <w:r w:rsidR="00C3110D" w:rsidRPr="00BF0263">
        <w:t xml:space="preserve"> </w:t>
      </w:r>
      <w:r w:rsidRPr="00BF0263">
        <w:t>$131 million annually.</w:t>
      </w:r>
      <w:r w:rsidR="00A96485">
        <w:br w:type="page"/>
      </w:r>
    </w:p>
    <w:p w14:paraId="34AD4EF5" w14:textId="69B469E8" w:rsidR="006D1968" w:rsidRDefault="009C7069" w:rsidP="00D234F7">
      <w:pPr>
        <w:spacing w:line="360" w:lineRule="auto"/>
        <w:ind w:left="720"/>
        <w:jc w:val="both"/>
      </w:pPr>
      <w:r>
        <w:lastRenderedPageBreak/>
        <w:t xml:space="preserve">Despite </w:t>
      </w:r>
      <w:r w:rsidRPr="00DA11DA">
        <w:t>inflationary</w:t>
      </w:r>
      <w:r>
        <w:t xml:space="preserve"> pressures and increased labor and health care costs, w</w:t>
      </w:r>
      <w:r w:rsidR="00D234F7">
        <w:t xml:space="preserve">e have worked hard to manage </w:t>
      </w:r>
      <w:r w:rsidR="00D234F7" w:rsidRPr="004D0938">
        <w:t>the Company’s O&amp;M expenses</w:t>
      </w:r>
      <w:r w:rsidR="002028F4">
        <w:t>.  In fact, our p</w:t>
      </w:r>
      <w:r w:rsidR="00FA0866">
        <w:t xml:space="preserve">rojected </w:t>
      </w:r>
      <w:r w:rsidR="00D234F7" w:rsidRPr="004D0938">
        <w:t>O&amp;M expenses</w:t>
      </w:r>
      <w:r w:rsidR="008F40FC">
        <w:t xml:space="preserve">, </w:t>
      </w:r>
      <w:r w:rsidR="008F40FC" w:rsidRPr="002028F4">
        <w:t xml:space="preserve">with the exception of </w:t>
      </w:r>
      <w:r w:rsidR="005F1833" w:rsidRPr="002028F4">
        <w:t xml:space="preserve">Commission-approved </w:t>
      </w:r>
      <w:r w:rsidR="002F0A14" w:rsidRPr="002028F4">
        <w:t>accruals</w:t>
      </w:r>
      <w:r w:rsidR="005F1833" w:rsidRPr="002028F4">
        <w:t xml:space="preserve"> for storm restoration</w:t>
      </w:r>
      <w:r w:rsidR="008F40FC" w:rsidRPr="00923048">
        <w:t>,</w:t>
      </w:r>
      <w:r w:rsidR="00D234F7" w:rsidRPr="004D0938">
        <w:t xml:space="preserve"> </w:t>
      </w:r>
      <w:r w:rsidR="00D234F7">
        <w:t>are now</w:t>
      </w:r>
      <w:r w:rsidR="00923048">
        <w:t xml:space="preserve"> approximately</w:t>
      </w:r>
      <w:r w:rsidR="00D234F7">
        <w:t xml:space="preserve"> $12</w:t>
      </w:r>
      <w:r w:rsidR="002028F4">
        <w:t>6</w:t>
      </w:r>
      <w:r w:rsidR="00D234F7">
        <w:t xml:space="preserve"> million lower than the levels set in the 2013 Rate Case</w:t>
      </w:r>
      <w:r w:rsidR="002028F4">
        <w:t xml:space="preserve"> Order</w:t>
      </w:r>
      <w:r w:rsidR="00D234F7" w:rsidRPr="004D0938">
        <w:t xml:space="preserve">.  </w:t>
      </w:r>
      <w:r w:rsidR="00D234F7">
        <w:t xml:space="preserve">In an effort to address </w:t>
      </w:r>
      <w:r w:rsidR="00DA11DA">
        <w:t xml:space="preserve">our </w:t>
      </w:r>
      <w:r w:rsidR="00EC6B04">
        <w:t>customers</w:t>
      </w:r>
      <w:r w:rsidR="00DA11DA">
        <w:t>’</w:t>
      </w:r>
      <w:r w:rsidR="00EC6B04">
        <w:t xml:space="preserve"> changing </w:t>
      </w:r>
      <w:r w:rsidR="000C2E84">
        <w:t>expectations</w:t>
      </w:r>
      <w:r w:rsidR="00E06904">
        <w:t xml:space="preserve"> </w:t>
      </w:r>
      <w:r w:rsidR="00D234F7" w:rsidRPr="00844FFB">
        <w:t>and to reduce costs,</w:t>
      </w:r>
      <w:r w:rsidR="00D234F7">
        <w:t xml:space="preserve"> the Company implemented various cost-containment and business </w:t>
      </w:r>
      <w:r w:rsidR="00447F40" w:rsidRPr="00F27A93">
        <w:t>restructuring</w:t>
      </w:r>
      <w:r w:rsidR="00447F40">
        <w:t xml:space="preserve"> </w:t>
      </w:r>
      <w:r w:rsidR="00D234F7">
        <w:t>efforts</w:t>
      </w:r>
      <w:r w:rsidR="00F5312D">
        <w:t xml:space="preserve">.  </w:t>
      </w:r>
      <w:r w:rsidR="00E06904">
        <w:t xml:space="preserve">We have implemented </w:t>
      </w:r>
      <w:r w:rsidR="00D234F7">
        <w:t xml:space="preserve">several payment initiatives </w:t>
      </w:r>
      <w:r w:rsidR="00447F40">
        <w:t xml:space="preserve">designed to improve customer satisfaction and </w:t>
      </w:r>
      <w:r w:rsidR="00D234F7">
        <w:t>reduce bad debt expense; consolidat</w:t>
      </w:r>
      <w:r w:rsidR="00E06904">
        <w:t>ed</w:t>
      </w:r>
      <w:r w:rsidR="00D234F7">
        <w:t xml:space="preserve"> various functions across </w:t>
      </w:r>
      <w:r w:rsidR="00E06904">
        <w:t xml:space="preserve">the Company </w:t>
      </w:r>
      <w:r w:rsidR="00D234F7">
        <w:t>to reduce headcount</w:t>
      </w:r>
      <w:r w:rsidR="00447F40">
        <w:t xml:space="preserve"> and better align priorities and strategies</w:t>
      </w:r>
      <w:r w:rsidR="00D234F7">
        <w:t xml:space="preserve">; and </w:t>
      </w:r>
      <w:r w:rsidR="00FD3B3A">
        <w:t xml:space="preserve">closed </w:t>
      </w:r>
      <w:r w:rsidR="00D234F7">
        <w:t xml:space="preserve">all of the Company’s local </w:t>
      </w:r>
      <w:r w:rsidR="00E06904">
        <w:t xml:space="preserve">bill payment </w:t>
      </w:r>
      <w:r w:rsidR="00D234F7">
        <w:t xml:space="preserve">offices.  </w:t>
      </w:r>
    </w:p>
    <w:p w14:paraId="77BAD83B" w14:textId="77777777" w:rsidR="00D234F7" w:rsidRDefault="00D234F7" w:rsidP="00D234F7">
      <w:pPr>
        <w:spacing w:line="360" w:lineRule="auto"/>
        <w:ind w:left="720"/>
        <w:jc w:val="both"/>
      </w:pPr>
    </w:p>
    <w:p w14:paraId="5606375C" w14:textId="07511B4D" w:rsidR="00D234F7" w:rsidRDefault="002D2291" w:rsidP="00D234F7">
      <w:pPr>
        <w:pStyle w:val="BodyText"/>
        <w:spacing w:before="0" w:after="0" w:line="360" w:lineRule="auto"/>
        <w:ind w:left="720" w:firstLine="0"/>
      </w:pPr>
      <w:r w:rsidRPr="0015309B">
        <w:t>In regard to base revenues</w:t>
      </w:r>
      <w:r w:rsidR="003C1D1B" w:rsidRPr="0015309B">
        <w:t>,</w:t>
      </w:r>
      <w:r w:rsidRPr="0015309B">
        <w:t xml:space="preserve"> </w:t>
      </w:r>
      <w:r w:rsidR="00E4062E" w:rsidRPr="0015309B">
        <w:t xml:space="preserve">on </w:t>
      </w:r>
      <w:r w:rsidR="000F4D54" w:rsidRPr="0015309B">
        <w:t xml:space="preserve">a weather-normalized basis, retail base revenues are </w:t>
      </w:r>
      <w:r w:rsidR="00B477B7" w:rsidRPr="0015309B">
        <w:t xml:space="preserve">lower than what </w:t>
      </w:r>
      <w:r w:rsidR="00F27A93" w:rsidRPr="0015309B">
        <w:t>was</w:t>
      </w:r>
      <w:r w:rsidR="00B477B7" w:rsidRPr="0015309B">
        <w:t xml:space="preserve"> projected in the 2013 Rate Case.  </w:t>
      </w:r>
      <w:r w:rsidR="00515A0A">
        <w:t>Although p</w:t>
      </w:r>
      <w:r w:rsidR="00B477B7" w:rsidRPr="0015309B">
        <w:t xml:space="preserve">re-recession organic </w:t>
      </w:r>
      <w:r w:rsidR="004A27DC" w:rsidRPr="0015309B">
        <w:t xml:space="preserve">sales </w:t>
      </w:r>
      <w:r w:rsidR="00B477B7" w:rsidRPr="0015309B">
        <w:t xml:space="preserve">growth has not materialized, </w:t>
      </w:r>
      <w:r w:rsidR="007A653A" w:rsidRPr="0015309B">
        <w:t xml:space="preserve">our </w:t>
      </w:r>
      <w:r w:rsidR="00B477B7" w:rsidRPr="0015309B">
        <w:t xml:space="preserve">current modest </w:t>
      </w:r>
      <w:r w:rsidR="004A27DC" w:rsidRPr="0015309B">
        <w:t xml:space="preserve">sales </w:t>
      </w:r>
      <w:r w:rsidR="00B477B7" w:rsidRPr="0015309B">
        <w:t>growth expectations</w:t>
      </w:r>
      <w:r w:rsidR="00E06904" w:rsidRPr="0015309B">
        <w:t xml:space="preserve"> that are generated by </w:t>
      </w:r>
      <w:r w:rsidR="003C5376" w:rsidRPr="0015309B">
        <w:t>n</w:t>
      </w:r>
      <w:r w:rsidR="00E06904" w:rsidRPr="0015309B">
        <w:t>ew customers</w:t>
      </w:r>
      <w:r w:rsidR="00B477B7" w:rsidRPr="0015309B">
        <w:t xml:space="preserve"> </w:t>
      </w:r>
      <w:r w:rsidR="004A27DC" w:rsidRPr="0015309B">
        <w:t>still contribute to lower</w:t>
      </w:r>
      <w:r w:rsidR="00233F43" w:rsidRPr="0015309B">
        <w:t>ing</w:t>
      </w:r>
      <w:r w:rsidR="000F4D54" w:rsidRPr="0015309B">
        <w:t xml:space="preserve"> </w:t>
      </w:r>
      <w:r w:rsidR="00923048" w:rsidRPr="0015309B">
        <w:t xml:space="preserve">the </w:t>
      </w:r>
      <w:r w:rsidR="000F4D54" w:rsidRPr="0015309B">
        <w:t xml:space="preserve">revenue requirement by </w:t>
      </w:r>
      <w:r w:rsidR="002218D0">
        <w:t xml:space="preserve">approximately </w:t>
      </w:r>
      <w:r w:rsidR="000F4D54" w:rsidRPr="0015309B">
        <w:t>$94 million.</w:t>
      </w:r>
      <w:r w:rsidR="000F4D54">
        <w:t xml:space="preserve"> </w:t>
      </w:r>
    </w:p>
    <w:p w14:paraId="47869BDD" w14:textId="77777777" w:rsidR="00D234F7" w:rsidRDefault="00D234F7" w:rsidP="00D234F7">
      <w:pPr>
        <w:pStyle w:val="BodyText"/>
        <w:spacing w:before="0" w:after="0" w:line="360" w:lineRule="auto"/>
        <w:ind w:left="720" w:firstLine="0"/>
      </w:pPr>
    </w:p>
    <w:p w14:paraId="7B8E09FA" w14:textId="21477E4E" w:rsidR="0041178E" w:rsidRDefault="00D234F7" w:rsidP="0041178E">
      <w:pPr>
        <w:pStyle w:val="BodyText"/>
        <w:spacing w:before="0" w:after="0" w:line="360" w:lineRule="auto"/>
        <w:ind w:left="720" w:firstLine="0"/>
      </w:pPr>
      <w:r>
        <w:t xml:space="preserve">Another factor reducing our revenue requirements is our recognition that </w:t>
      </w:r>
      <w:r w:rsidR="00A615D2">
        <w:t xml:space="preserve">the Company’s </w:t>
      </w:r>
      <w:r w:rsidR="00A20240">
        <w:t>ROE</w:t>
      </w:r>
      <w:r>
        <w:t xml:space="preserve"> can be reduced from 10.95%</w:t>
      </w:r>
      <w:r w:rsidR="000F4D54">
        <w:t xml:space="preserve"> set in </w:t>
      </w:r>
      <w:r w:rsidR="009E4762">
        <w:t xml:space="preserve">the </w:t>
      </w:r>
      <w:r w:rsidR="000F4D54">
        <w:t xml:space="preserve">2013 </w:t>
      </w:r>
      <w:r w:rsidR="009E4762">
        <w:t>Rate Case</w:t>
      </w:r>
      <w:r w:rsidR="00923048">
        <w:t xml:space="preserve"> Order</w:t>
      </w:r>
      <w:r>
        <w:t xml:space="preserve"> </w:t>
      </w:r>
      <w:r w:rsidR="00A615D2">
        <w:t>to</w:t>
      </w:r>
      <w:r>
        <w:t xml:space="preserve"> 10.9</w:t>
      </w:r>
      <w:r w:rsidR="00137AEB">
        <w:t>0</w:t>
      </w:r>
      <w:r>
        <w:t>% for the next three years to reflect modest changes in the economic environment.</w:t>
      </w:r>
      <w:r w:rsidR="009E4762">
        <w:t xml:space="preserve">  </w:t>
      </w:r>
      <w:r w:rsidR="009E4762" w:rsidRPr="009E4762">
        <w:t>Dr. Vander Weide</w:t>
      </w:r>
      <w:r w:rsidR="009E4762">
        <w:t xml:space="preserve"> will further</w:t>
      </w:r>
      <w:r w:rsidR="00F27A93">
        <w:t xml:space="preserve"> explain </w:t>
      </w:r>
      <w:r w:rsidR="00E06904">
        <w:t xml:space="preserve">the basis for the </w:t>
      </w:r>
      <w:r w:rsidR="00F27A93">
        <w:t xml:space="preserve">recommended ROE </w:t>
      </w:r>
      <w:r w:rsidR="009E4762">
        <w:t>in his testimony.</w:t>
      </w:r>
      <w:r w:rsidR="0041178E">
        <w:br w:type="page"/>
      </w:r>
    </w:p>
    <w:p w14:paraId="6BC12892" w14:textId="77777777" w:rsidR="00923048" w:rsidRDefault="00923048" w:rsidP="00923048">
      <w:pPr>
        <w:pStyle w:val="BodyText"/>
        <w:spacing w:before="0" w:after="0" w:line="360" w:lineRule="auto"/>
        <w:ind w:left="720" w:hanging="720"/>
        <w:rPr>
          <w:b/>
        </w:rPr>
      </w:pPr>
      <w:r>
        <w:rPr>
          <w:b/>
        </w:rPr>
        <w:lastRenderedPageBreak/>
        <w:t xml:space="preserve">Q. </w:t>
      </w:r>
      <w:r>
        <w:rPr>
          <w:b/>
        </w:rPr>
        <w:tab/>
        <w:t>IN SUMMARY, SHOW THE PRIMARY DRIVERS OF THE COMPANY’S PROPOSED LEVELIZED AND ANNUAL INCREASES.</w:t>
      </w:r>
    </w:p>
    <w:p w14:paraId="6C3E5336" w14:textId="5C689020" w:rsidR="00923048" w:rsidRDefault="00923048" w:rsidP="00923048">
      <w:pPr>
        <w:pStyle w:val="BodyText"/>
        <w:spacing w:before="0" w:after="0" w:line="360" w:lineRule="auto"/>
        <w:ind w:left="720" w:hanging="720"/>
      </w:pPr>
      <w:r>
        <w:t>A.</w:t>
      </w:r>
      <w:r>
        <w:tab/>
        <w:t>Chart 3 below</w:t>
      </w:r>
      <w:r w:rsidR="00DC3D13" w:rsidRPr="00DC3D13">
        <w:t xml:space="preserve"> </w:t>
      </w:r>
      <w:r w:rsidR="00DC3D13">
        <w:t>depict</w:t>
      </w:r>
      <w:r w:rsidR="00233F43">
        <w:t>s</w:t>
      </w:r>
      <w:r w:rsidR="00DC3D13">
        <w:t xml:space="preserve"> the factors we have just discussed that are increasing and offsetting revenue requirements along with the resulting revenue deficiency</w:t>
      </w:r>
      <w:r w:rsidR="00F31D15">
        <w:t>.</w:t>
      </w:r>
      <w:r>
        <w:t xml:space="preserve"> </w:t>
      </w:r>
    </w:p>
    <w:p w14:paraId="54F715D1" w14:textId="77777777" w:rsidR="00923048" w:rsidRDefault="00923048" w:rsidP="006F3353">
      <w:pPr>
        <w:pStyle w:val="BodyText"/>
        <w:spacing w:before="0" w:after="0" w:line="360" w:lineRule="auto"/>
        <w:ind w:firstLine="0"/>
      </w:pPr>
    </w:p>
    <w:p w14:paraId="51292BB3" w14:textId="276B8E82" w:rsidR="00923048" w:rsidRPr="00C23928" w:rsidRDefault="00923048" w:rsidP="00923048">
      <w:pPr>
        <w:keepNext/>
        <w:spacing w:line="360" w:lineRule="auto"/>
        <w:ind w:left="720" w:hanging="720"/>
        <w:jc w:val="center"/>
        <w:rPr>
          <w:b/>
        </w:rPr>
      </w:pPr>
      <w:r w:rsidRPr="00C23928">
        <w:rPr>
          <w:b/>
        </w:rPr>
        <w:t xml:space="preserve">Chart 3: </w:t>
      </w:r>
      <w:r w:rsidR="00935D38">
        <w:rPr>
          <w:b/>
        </w:rPr>
        <w:t>Review of Drivers 2014-2022</w:t>
      </w:r>
    </w:p>
    <w:p w14:paraId="3C55D5AA" w14:textId="62E55A03" w:rsidR="00923048" w:rsidRDefault="00923048" w:rsidP="00872FA1">
      <w:pPr>
        <w:spacing w:line="360" w:lineRule="auto"/>
        <w:ind w:left="-360"/>
        <w:jc w:val="both"/>
        <w:rPr>
          <w:b/>
        </w:rPr>
      </w:pPr>
    </w:p>
    <w:p w14:paraId="13BAFE8F" w14:textId="7F5BA867" w:rsidR="00173445" w:rsidRDefault="000D0939" w:rsidP="00872FA1">
      <w:pPr>
        <w:spacing w:line="360" w:lineRule="auto"/>
        <w:ind w:left="-360"/>
        <w:jc w:val="both"/>
        <w:rPr>
          <w:b/>
        </w:rPr>
      </w:pPr>
      <w:r w:rsidRPr="000D0939">
        <w:rPr>
          <w:noProof/>
        </w:rPr>
        <w:drawing>
          <wp:inline distT="0" distB="0" distL="0" distR="0" wp14:anchorId="4E5D31FB" wp14:editId="7BCD3520">
            <wp:extent cx="6762285" cy="364807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6200" cy="3650187"/>
                    </a:xfrm>
                    <a:prstGeom prst="rect">
                      <a:avLst/>
                    </a:prstGeom>
                    <a:noFill/>
                    <a:ln>
                      <a:noFill/>
                    </a:ln>
                  </pic:spPr>
                </pic:pic>
              </a:graphicData>
            </a:graphic>
          </wp:inline>
        </w:drawing>
      </w:r>
    </w:p>
    <w:p w14:paraId="269F3004" w14:textId="54FB4A65" w:rsidR="00713719" w:rsidRPr="00713719" w:rsidRDefault="00713719" w:rsidP="00713719">
      <w:pPr>
        <w:rPr>
          <w:i/>
          <w:sz w:val="18"/>
          <w:szCs w:val="18"/>
        </w:rPr>
      </w:pPr>
      <w:r w:rsidRPr="00713719">
        <w:rPr>
          <w:i/>
          <w:sz w:val="18"/>
          <w:szCs w:val="18"/>
        </w:rPr>
        <w:t xml:space="preserve">*Changes in Rate Base include changes in </w:t>
      </w:r>
      <w:r w:rsidR="002B1FD5">
        <w:rPr>
          <w:i/>
          <w:sz w:val="18"/>
          <w:szCs w:val="18"/>
        </w:rPr>
        <w:t>d</w:t>
      </w:r>
      <w:r w:rsidRPr="00713719">
        <w:rPr>
          <w:i/>
          <w:sz w:val="18"/>
          <w:szCs w:val="18"/>
        </w:rPr>
        <w:t xml:space="preserve">epreciation and </w:t>
      </w:r>
      <w:r w:rsidR="002B1FD5">
        <w:rPr>
          <w:i/>
          <w:sz w:val="18"/>
          <w:szCs w:val="18"/>
        </w:rPr>
        <w:t>p</w:t>
      </w:r>
      <w:r w:rsidRPr="00713719">
        <w:rPr>
          <w:i/>
          <w:sz w:val="18"/>
          <w:szCs w:val="18"/>
        </w:rPr>
        <w:t xml:space="preserve">roperty </w:t>
      </w:r>
      <w:r w:rsidR="002B1FD5">
        <w:rPr>
          <w:i/>
          <w:sz w:val="18"/>
          <w:szCs w:val="18"/>
        </w:rPr>
        <w:t>t</w:t>
      </w:r>
      <w:r w:rsidRPr="00713719">
        <w:rPr>
          <w:i/>
          <w:sz w:val="18"/>
          <w:szCs w:val="18"/>
        </w:rPr>
        <w:t>axes</w:t>
      </w:r>
    </w:p>
    <w:p w14:paraId="5081C8FB" w14:textId="4767E677" w:rsidR="00D202D5" w:rsidRDefault="00713719" w:rsidP="00D202D5">
      <w:pPr>
        <w:rPr>
          <w:i/>
          <w:sz w:val="18"/>
          <w:szCs w:val="18"/>
        </w:rPr>
      </w:pPr>
      <w:r w:rsidRPr="00713719">
        <w:rPr>
          <w:i/>
          <w:sz w:val="18"/>
          <w:szCs w:val="18"/>
        </w:rPr>
        <w:t>*</w:t>
      </w:r>
      <w:r w:rsidR="003603A3" w:rsidRPr="00713719">
        <w:rPr>
          <w:i/>
          <w:sz w:val="18"/>
          <w:szCs w:val="18"/>
        </w:rPr>
        <w:t>*</w:t>
      </w:r>
      <w:r w:rsidR="003603A3">
        <w:rPr>
          <w:i/>
          <w:sz w:val="18"/>
          <w:szCs w:val="18"/>
        </w:rPr>
        <w:t>Amortization</w:t>
      </w:r>
      <w:r w:rsidRPr="00713719">
        <w:rPr>
          <w:i/>
          <w:sz w:val="18"/>
          <w:szCs w:val="18"/>
        </w:rPr>
        <w:t xml:space="preserve"> includes Stewart County, </w:t>
      </w:r>
      <w:r w:rsidR="002B1FD5">
        <w:rPr>
          <w:i/>
          <w:sz w:val="18"/>
          <w:szCs w:val="18"/>
        </w:rPr>
        <w:t>o</w:t>
      </w:r>
      <w:r w:rsidRPr="00713719">
        <w:rPr>
          <w:i/>
          <w:sz w:val="18"/>
          <w:szCs w:val="18"/>
        </w:rPr>
        <w:t xml:space="preserve">bsolete </w:t>
      </w:r>
      <w:r w:rsidR="002B1FD5">
        <w:rPr>
          <w:i/>
          <w:sz w:val="18"/>
          <w:szCs w:val="18"/>
        </w:rPr>
        <w:t>i</w:t>
      </w:r>
      <w:r w:rsidRPr="00713719">
        <w:rPr>
          <w:i/>
          <w:sz w:val="18"/>
          <w:szCs w:val="18"/>
        </w:rPr>
        <w:t>nventory and Mitchell 3, Hammond, McIntosh, Hydro NBV</w:t>
      </w:r>
    </w:p>
    <w:p w14:paraId="4401CD0A" w14:textId="13066BAD" w:rsidR="00713719" w:rsidRPr="00713719" w:rsidRDefault="00D202D5" w:rsidP="00713719">
      <w:pPr>
        <w:rPr>
          <w:i/>
          <w:sz w:val="18"/>
          <w:szCs w:val="18"/>
        </w:rPr>
      </w:pPr>
      <w:r>
        <w:rPr>
          <w:i/>
          <w:sz w:val="18"/>
          <w:szCs w:val="18"/>
        </w:rPr>
        <w:t>***</w:t>
      </w:r>
      <w:r w:rsidR="001027D5" w:rsidRPr="001027D5">
        <w:rPr>
          <w:i/>
          <w:sz w:val="18"/>
          <w:szCs w:val="18"/>
        </w:rPr>
        <w:t xml:space="preserve"> </w:t>
      </w:r>
      <w:r w:rsidR="001027D5" w:rsidRPr="00713719">
        <w:rPr>
          <w:i/>
          <w:sz w:val="18"/>
          <w:szCs w:val="18"/>
        </w:rPr>
        <w:t>Other</w:t>
      </w:r>
      <w:r w:rsidR="001027D5">
        <w:rPr>
          <w:i/>
          <w:sz w:val="18"/>
          <w:szCs w:val="18"/>
        </w:rPr>
        <w:t xml:space="preserve"> </w:t>
      </w:r>
      <w:r w:rsidR="001027D5" w:rsidRPr="00713719">
        <w:rPr>
          <w:i/>
          <w:sz w:val="18"/>
          <w:szCs w:val="18"/>
        </w:rPr>
        <w:t xml:space="preserve">includes MFF, </w:t>
      </w:r>
      <w:r w:rsidR="001027D5">
        <w:rPr>
          <w:i/>
          <w:sz w:val="18"/>
          <w:szCs w:val="18"/>
        </w:rPr>
        <w:t>c</w:t>
      </w:r>
      <w:r w:rsidR="001027D5" w:rsidRPr="00713719">
        <w:rPr>
          <w:i/>
          <w:sz w:val="18"/>
          <w:szCs w:val="18"/>
        </w:rPr>
        <w:t xml:space="preserve">ost of </w:t>
      </w:r>
      <w:r w:rsidR="001027D5">
        <w:rPr>
          <w:i/>
          <w:sz w:val="18"/>
          <w:szCs w:val="18"/>
        </w:rPr>
        <w:t>d</w:t>
      </w:r>
      <w:r w:rsidR="001027D5" w:rsidRPr="00713719">
        <w:rPr>
          <w:i/>
          <w:sz w:val="18"/>
          <w:szCs w:val="18"/>
        </w:rPr>
        <w:t xml:space="preserve">ebt, </w:t>
      </w:r>
      <w:r w:rsidR="001027D5">
        <w:rPr>
          <w:i/>
          <w:sz w:val="18"/>
          <w:szCs w:val="18"/>
        </w:rPr>
        <w:t>o</w:t>
      </w:r>
      <w:r w:rsidR="001027D5" w:rsidRPr="00713719">
        <w:rPr>
          <w:i/>
          <w:sz w:val="18"/>
          <w:szCs w:val="18"/>
        </w:rPr>
        <w:t xml:space="preserve">ther </w:t>
      </w:r>
      <w:r w:rsidR="001027D5">
        <w:rPr>
          <w:i/>
          <w:sz w:val="18"/>
          <w:szCs w:val="18"/>
        </w:rPr>
        <w:t>r</w:t>
      </w:r>
      <w:r w:rsidR="001027D5" w:rsidRPr="00713719">
        <w:rPr>
          <w:i/>
          <w:sz w:val="18"/>
          <w:szCs w:val="18"/>
        </w:rPr>
        <w:t>evenues, etc.</w:t>
      </w:r>
      <w:r w:rsidR="001027D5">
        <w:rPr>
          <w:i/>
          <w:sz w:val="18"/>
          <w:szCs w:val="18"/>
        </w:rPr>
        <w:t xml:space="preserve">; </w:t>
      </w:r>
      <w:r w:rsidR="00713719" w:rsidRPr="00713719">
        <w:rPr>
          <w:i/>
          <w:sz w:val="18"/>
          <w:szCs w:val="18"/>
        </w:rPr>
        <w:t xml:space="preserve">O&amp;M includes </w:t>
      </w:r>
      <w:r w:rsidR="002B1FD5">
        <w:rPr>
          <w:i/>
          <w:sz w:val="18"/>
          <w:szCs w:val="18"/>
        </w:rPr>
        <w:t>e</w:t>
      </w:r>
      <w:r w:rsidR="00713719" w:rsidRPr="00713719">
        <w:rPr>
          <w:i/>
          <w:sz w:val="18"/>
          <w:szCs w:val="18"/>
        </w:rPr>
        <w:t xml:space="preserve">nvironmental </w:t>
      </w:r>
      <w:r w:rsidR="002B1FD5">
        <w:rPr>
          <w:i/>
          <w:sz w:val="18"/>
          <w:szCs w:val="18"/>
        </w:rPr>
        <w:t>r</w:t>
      </w:r>
      <w:r w:rsidR="00713719" w:rsidRPr="00713719">
        <w:rPr>
          <w:i/>
          <w:sz w:val="18"/>
          <w:szCs w:val="18"/>
        </w:rPr>
        <w:t xml:space="preserve">emediation; </w:t>
      </w:r>
      <w:r w:rsidR="001027D5">
        <w:rPr>
          <w:i/>
          <w:sz w:val="18"/>
          <w:szCs w:val="18"/>
        </w:rPr>
        <w:t>B</w:t>
      </w:r>
      <w:r w:rsidR="00713719" w:rsidRPr="00713719">
        <w:rPr>
          <w:i/>
          <w:sz w:val="18"/>
          <w:szCs w:val="18"/>
        </w:rPr>
        <w:t xml:space="preserve">ase </w:t>
      </w:r>
      <w:r w:rsidR="001027D5">
        <w:rPr>
          <w:i/>
          <w:sz w:val="18"/>
          <w:szCs w:val="18"/>
        </w:rPr>
        <w:t>R</w:t>
      </w:r>
      <w:r w:rsidR="00713719" w:rsidRPr="00713719">
        <w:rPr>
          <w:i/>
          <w:sz w:val="18"/>
          <w:szCs w:val="18"/>
        </w:rPr>
        <w:t xml:space="preserve">evenues include DSM </w:t>
      </w:r>
      <w:r w:rsidR="002B1FD5">
        <w:rPr>
          <w:i/>
          <w:sz w:val="18"/>
          <w:szCs w:val="18"/>
        </w:rPr>
        <w:t>u</w:t>
      </w:r>
      <w:r w:rsidR="00713719" w:rsidRPr="00713719">
        <w:rPr>
          <w:i/>
          <w:sz w:val="18"/>
          <w:szCs w:val="18"/>
        </w:rPr>
        <w:t>nder-</w:t>
      </w:r>
      <w:r w:rsidR="002B1FD5">
        <w:rPr>
          <w:i/>
          <w:sz w:val="18"/>
          <w:szCs w:val="18"/>
        </w:rPr>
        <w:t>r</w:t>
      </w:r>
      <w:r w:rsidR="00713719" w:rsidRPr="00713719">
        <w:rPr>
          <w:i/>
          <w:sz w:val="18"/>
          <w:szCs w:val="18"/>
        </w:rPr>
        <w:t>ecovery</w:t>
      </w:r>
      <w:r w:rsidR="001027D5">
        <w:rPr>
          <w:i/>
          <w:sz w:val="18"/>
          <w:szCs w:val="18"/>
        </w:rPr>
        <w:t xml:space="preserve"> </w:t>
      </w:r>
    </w:p>
    <w:p w14:paraId="337E56BB" w14:textId="33BD8AE0" w:rsidR="00923048" w:rsidRPr="005F19CB" w:rsidRDefault="00923048" w:rsidP="00713719">
      <w:pPr>
        <w:rPr>
          <w:b/>
        </w:rPr>
      </w:pPr>
    </w:p>
    <w:p w14:paraId="1321A46C" w14:textId="3281F315" w:rsidR="00F94068" w:rsidRPr="00F94068" w:rsidRDefault="00972C27" w:rsidP="00F94068">
      <w:pPr>
        <w:spacing w:line="360" w:lineRule="auto"/>
        <w:ind w:left="720" w:hanging="720"/>
        <w:jc w:val="both"/>
        <w:rPr>
          <w:b/>
        </w:rPr>
      </w:pPr>
      <w:r w:rsidRPr="005F19CB">
        <w:rPr>
          <w:b/>
        </w:rPr>
        <w:t>Q.</w:t>
      </w:r>
      <w:r w:rsidR="00F94068" w:rsidRPr="00F94068">
        <w:rPr>
          <w:b/>
        </w:rPr>
        <w:tab/>
      </w:r>
      <w:r w:rsidR="00F31D15" w:rsidRPr="00F31D15">
        <w:rPr>
          <w:b/>
        </w:rPr>
        <w:t xml:space="preserve"> </w:t>
      </w:r>
      <w:r w:rsidR="00F31D15">
        <w:rPr>
          <w:b/>
        </w:rPr>
        <w:t>DID THE COMPANY CONSIDER</w:t>
      </w:r>
      <w:r w:rsidR="00C34281">
        <w:rPr>
          <w:b/>
        </w:rPr>
        <w:t xml:space="preserve"> ONE-YEAR RATE INCREASES FOR EACH OF THE THREE YEARS IN THIS CASE?</w:t>
      </w:r>
    </w:p>
    <w:p w14:paraId="26C841BD" w14:textId="7608978D" w:rsidR="0041178E" w:rsidRDefault="00F94068" w:rsidP="0041178E">
      <w:pPr>
        <w:spacing w:line="360" w:lineRule="auto"/>
        <w:ind w:left="720" w:hanging="720"/>
        <w:jc w:val="both"/>
      </w:pPr>
      <w:r w:rsidRPr="00C23928">
        <w:t>A.</w:t>
      </w:r>
      <w:r w:rsidRPr="00F94068">
        <w:rPr>
          <w:b/>
        </w:rPr>
        <w:tab/>
      </w:r>
      <w:r w:rsidR="004A16AD">
        <w:t>Yes</w:t>
      </w:r>
      <w:r w:rsidR="00F5312D">
        <w:t xml:space="preserve">.  </w:t>
      </w:r>
      <w:r w:rsidR="00F31D15">
        <w:t>A</w:t>
      </w:r>
      <w:r w:rsidR="004A16AD">
        <w:t xml:space="preserve">fter considering all of </w:t>
      </w:r>
      <w:r w:rsidR="00B10378">
        <w:t>the</w:t>
      </w:r>
      <w:r w:rsidR="004A16AD">
        <w:t xml:space="preserve"> factors</w:t>
      </w:r>
      <w:r w:rsidR="00B10378">
        <w:t xml:space="preserve"> identified above</w:t>
      </w:r>
      <w:r w:rsidR="004A16AD">
        <w:t xml:space="preserve">, if we were to propose three consecutive </w:t>
      </w:r>
      <w:r w:rsidR="00745D8F">
        <w:t>one-year</w:t>
      </w:r>
      <w:r w:rsidR="004A16AD">
        <w:t xml:space="preserve"> rate increases using a traditional annual rate case structure, or a </w:t>
      </w:r>
      <w:r w:rsidR="00745D8F">
        <w:t>three-</w:t>
      </w:r>
      <w:r w:rsidR="00745D8F">
        <w:lastRenderedPageBreak/>
        <w:t>year</w:t>
      </w:r>
      <w:r w:rsidR="004A16AD">
        <w:t xml:space="preserve"> accounting order that adjusted rates on a non-levelized basis, </w:t>
      </w:r>
      <w:r w:rsidR="004A16AD" w:rsidRPr="00F27A93">
        <w:t>the Company projects that the revenue deficiencies</w:t>
      </w:r>
      <w:r w:rsidR="000F4D54" w:rsidRPr="00F27A93">
        <w:t xml:space="preserve"> will be as follows: </w:t>
      </w:r>
    </w:p>
    <w:p w14:paraId="78F75006" w14:textId="4C6F409D" w:rsidR="000F4D54" w:rsidRPr="00AB41F9" w:rsidRDefault="000F4D54" w:rsidP="008E5258">
      <w:pPr>
        <w:pStyle w:val="BodyText"/>
        <w:keepNext/>
        <w:spacing w:before="0" w:after="0" w:line="360" w:lineRule="auto"/>
        <w:ind w:left="720" w:firstLine="0"/>
        <w:jc w:val="center"/>
        <w:rPr>
          <w:rFonts w:eastAsia="Times New Roman"/>
          <w:b/>
          <w:lang w:eastAsia="en-US"/>
        </w:rPr>
      </w:pPr>
      <w:r w:rsidRPr="00AB41F9">
        <w:rPr>
          <w:rFonts w:eastAsia="Times New Roman"/>
          <w:b/>
          <w:lang w:eastAsia="en-US"/>
        </w:rPr>
        <w:t xml:space="preserve">Table </w:t>
      </w:r>
      <w:r>
        <w:rPr>
          <w:rFonts w:eastAsia="Times New Roman"/>
          <w:b/>
          <w:lang w:eastAsia="en-US"/>
        </w:rPr>
        <w:t>2</w:t>
      </w:r>
      <w:r w:rsidRPr="00AB41F9">
        <w:rPr>
          <w:rFonts w:eastAsia="Times New Roman"/>
          <w:b/>
          <w:lang w:eastAsia="en-US"/>
        </w:rPr>
        <w:t xml:space="preserve">: </w:t>
      </w:r>
      <w:r>
        <w:rPr>
          <w:rFonts w:eastAsia="Times New Roman"/>
          <w:b/>
          <w:lang w:eastAsia="en-US"/>
        </w:rPr>
        <w:t>Projected Revenue Requirement</w:t>
      </w:r>
      <w:r w:rsidR="00AD4C71">
        <w:rPr>
          <w:rFonts w:eastAsia="Times New Roman"/>
          <w:b/>
          <w:lang w:eastAsia="en-US"/>
        </w:rPr>
        <w:t xml:space="preserve"> Deficiency by Year </w:t>
      </w:r>
      <w:r>
        <w:rPr>
          <w:rFonts w:eastAsia="Times New Roman"/>
          <w:b/>
          <w:lang w:eastAsia="en-US"/>
        </w:rPr>
        <w:t>(in millions)</w:t>
      </w:r>
    </w:p>
    <w:tbl>
      <w:tblPr>
        <w:tblStyle w:val="TableGrid"/>
        <w:tblW w:w="8280" w:type="dxa"/>
        <w:tblInd w:w="895" w:type="dxa"/>
        <w:tblLook w:val="04A0" w:firstRow="1" w:lastRow="0" w:firstColumn="1" w:lastColumn="0" w:noHBand="0" w:noVBand="1"/>
      </w:tblPr>
      <w:tblGrid>
        <w:gridCol w:w="2160"/>
        <w:gridCol w:w="1980"/>
        <w:gridCol w:w="1980"/>
        <w:gridCol w:w="2160"/>
      </w:tblGrid>
      <w:tr w:rsidR="000F4D54" w14:paraId="74BCFD52" w14:textId="77777777" w:rsidTr="005E6495">
        <w:tc>
          <w:tcPr>
            <w:tcW w:w="2160" w:type="dxa"/>
            <w:tcBorders>
              <w:bottom w:val="single" w:sz="12" w:space="0" w:color="auto"/>
            </w:tcBorders>
            <w:vAlign w:val="center"/>
          </w:tcPr>
          <w:p w14:paraId="42C5E7D9" w14:textId="470FA7A8" w:rsidR="000F4D54" w:rsidRDefault="000F4D54" w:rsidP="005E6495">
            <w:pPr>
              <w:pStyle w:val="BodyText"/>
              <w:keepNext/>
              <w:spacing w:before="0" w:after="0"/>
              <w:ind w:firstLine="0"/>
              <w:jc w:val="left"/>
              <w:rPr>
                <w:rFonts w:eastAsia="Times New Roman"/>
                <w:lang w:eastAsia="en-US"/>
              </w:rPr>
            </w:pPr>
          </w:p>
        </w:tc>
        <w:tc>
          <w:tcPr>
            <w:tcW w:w="1980" w:type="dxa"/>
            <w:tcBorders>
              <w:bottom w:val="single" w:sz="12" w:space="0" w:color="auto"/>
            </w:tcBorders>
            <w:vAlign w:val="center"/>
          </w:tcPr>
          <w:p w14:paraId="3D5C3870" w14:textId="026A7EA2" w:rsidR="000F4D54" w:rsidRPr="00452DFA" w:rsidRDefault="000F4D54" w:rsidP="005E6495">
            <w:pPr>
              <w:pStyle w:val="BodyText"/>
              <w:keepNext/>
              <w:spacing w:before="0" w:after="0"/>
              <w:ind w:firstLine="0"/>
              <w:jc w:val="right"/>
              <w:rPr>
                <w:rFonts w:eastAsia="Times New Roman"/>
                <w:b/>
                <w:lang w:eastAsia="en-US"/>
              </w:rPr>
            </w:pPr>
            <w:r w:rsidRPr="00452DFA">
              <w:rPr>
                <w:rFonts w:eastAsia="Times New Roman"/>
                <w:b/>
                <w:lang w:eastAsia="en-US"/>
              </w:rPr>
              <w:t>2020</w:t>
            </w:r>
          </w:p>
        </w:tc>
        <w:tc>
          <w:tcPr>
            <w:tcW w:w="1980" w:type="dxa"/>
            <w:tcBorders>
              <w:bottom w:val="single" w:sz="12" w:space="0" w:color="auto"/>
            </w:tcBorders>
            <w:vAlign w:val="center"/>
          </w:tcPr>
          <w:p w14:paraId="15EDFAE7" w14:textId="6BD2E977" w:rsidR="000F4D54" w:rsidRPr="00452DFA" w:rsidRDefault="000F4D54" w:rsidP="005E6495">
            <w:pPr>
              <w:pStyle w:val="BodyText"/>
              <w:keepNext/>
              <w:spacing w:before="0" w:after="0"/>
              <w:ind w:firstLine="0"/>
              <w:jc w:val="right"/>
              <w:rPr>
                <w:rFonts w:eastAsia="Times New Roman"/>
                <w:b/>
                <w:lang w:eastAsia="en-US"/>
              </w:rPr>
            </w:pPr>
            <w:r w:rsidRPr="00452DFA">
              <w:rPr>
                <w:rFonts w:eastAsia="Times New Roman"/>
                <w:b/>
                <w:lang w:eastAsia="en-US"/>
              </w:rPr>
              <w:t>2021</w:t>
            </w:r>
          </w:p>
        </w:tc>
        <w:tc>
          <w:tcPr>
            <w:tcW w:w="2160" w:type="dxa"/>
            <w:tcBorders>
              <w:bottom w:val="single" w:sz="12" w:space="0" w:color="auto"/>
            </w:tcBorders>
            <w:vAlign w:val="center"/>
          </w:tcPr>
          <w:p w14:paraId="65BF3E11" w14:textId="688CE6DE" w:rsidR="000F4D54" w:rsidRPr="00452DFA" w:rsidRDefault="000F4D54" w:rsidP="005E6495">
            <w:pPr>
              <w:pStyle w:val="BodyText"/>
              <w:keepNext/>
              <w:spacing w:before="0" w:after="0"/>
              <w:ind w:firstLine="0"/>
              <w:jc w:val="right"/>
              <w:rPr>
                <w:rFonts w:eastAsia="Times New Roman"/>
                <w:b/>
                <w:lang w:eastAsia="en-US"/>
              </w:rPr>
            </w:pPr>
            <w:r w:rsidRPr="00452DFA">
              <w:rPr>
                <w:rFonts w:eastAsia="Times New Roman"/>
                <w:b/>
                <w:lang w:eastAsia="en-US"/>
              </w:rPr>
              <w:t>2022</w:t>
            </w:r>
          </w:p>
        </w:tc>
      </w:tr>
      <w:tr w:rsidR="000F4D54" w14:paraId="73E0144C" w14:textId="77777777" w:rsidTr="005E6495">
        <w:tc>
          <w:tcPr>
            <w:tcW w:w="2160" w:type="dxa"/>
            <w:vAlign w:val="center"/>
          </w:tcPr>
          <w:p w14:paraId="114F2941" w14:textId="77777777" w:rsidR="000F4D54" w:rsidRDefault="000F4D54" w:rsidP="005E6495">
            <w:pPr>
              <w:pStyle w:val="BodyText"/>
              <w:keepNext/>
              <w:spacing w:before="0" w:after="0"/>
              <w:ind w:firstLine="0"/>
              <w:jc w:val="left"/>
              <w:rPr>
                <w:rFonts w:eastAsia="Times New Roman"/>
                <w:lang w:eastAsia="en-US"/>
              </w:rPr>
            </w:pPr>
            <w:r>
              <w:rPr>
                <w:rFonts w:eastAsia="Times New Roman"/>
                <w:lang w:eastAsia="en-US"/>
              </w:rPr>
              <w:t>Traditional Base:</w:t>
            </w:r>
          </w:p>
        </w:tc>
        <w:tc>
          <w:tcPr>
            <w:tcW w:w="1980" w:type="dxa"/>
            <w:tcBorders>
              <w:bottom w:val="single" w:sz="4" w:space="0" w:color="auto"/>
            </w:tcBorders>
            <w:vAlign w:val="center"/>
          </w:tcPr>
          <w:p w14:paraId="24EE5CD6" w14:textId="77777777" w:rsidR="000F4D54" w:rsidRDefault="000F4D54" w:rsidP="005E6495">
            <w:pPr>
              <w:pStyle w:val="BodyText"/>
              <w:keepNext/>
              <w:spacing w:before="0" w:after="0"/>
              <w:ind w:firstLine="0"/>
              <w:jc w:val="right"/>
              <w:rPr>
                <w:rFonts w:eastAsia="Times New Roman"/>
                <w:b/>
                <w:lang w:eastAsia="en-US"/>
              </w:rPr>
            </w:pPr>
          </w:p>
        </w:tc>
        <w:tc>
          <w:tcPr>
            <w:tcW w:w="1980" w:type="dxa"/>
            <w:tcBorders>
              <w:bottom w:val="single" w:sz="4" w:space="0" w:color="auto"/>
            </w:tcBorders>
            <w:vAlign w:val="center"/>
          </w:tcPr>
          <w:p w14:paraId="676C3663" w14:textId="77777777" w:rsidR="000F4D54" w:rsidRDefault="000F4D54" w:rsidP="005E6495">
            <w:pPr>
              <w:pStyle w:val="BodyText"/>
              <w:keepNext/>
              <w:spacing w:before="0" w:after="0"/>
              <w:ind w:firstLine="0"/>
              <w:jc w:val="right"/>
              <w:rPr>
                <w:rFonts w:eastAsia="Times New Roman"/>
                <w:b/>
                <w:lang w:eastAsia="en-US"/>
              </w:rPr>
            </w:pPr>
          </w:p>
        </w:tc>
        <w:tc>
          <w:tcPr>
            <w:tcW w:w="2160" w:type="dxa"/>
            <w:tcBorders>
              <w:bottom w:val="single" w:sz="4" w:space="0" w:color="auto"/>
            </w:tcBorders>
            <w:vAlign w:val="center"/>
          </w:tcPr>
          <w:p w14:paraId="3D6F5A18" w14:textId="77777777" w:rsidR="000F4D54" w:rsidRDefault="000F4D54" w:rsidP="005E6495">
            <w:pPr>
              <w:pStyle w:val="BodyText"/>
              <w:keepNext/>
              <w:spacing w:before="0" w:after="0"/>
              <w:ind w:firstLine="0"/>
              <w:jc w:val="right"/>
              <w:rPr>
                <w:rFonts w:eastAsia="Times New Roman"/>
                <w:b/>
                <w:lang w:eastAsia="en-US"/>
              </w:rPr>
            </w:pPr>
          </w:p>
        </w:tc>
      </w:tr>
      <w:tr w:rsidR="000F4D54" w14:paraId="79CCD4C9" w14:textId="77777777" w:rsidTr="00F27A93">
        <w:tc>
          <w:tcPr>
            <w:tcW w:w="2160" w:type="dxa"/>
            <w:vAlign w:val="center"/>
          </w:tcPr>
          <w:p w14:paraId="76778FAF" w14:textId="4BA9506D" w:rsidR="000F4D54" w:rsidRDefault="004A1A3A" w:rsidP="004A1A3A">
            <w:pPr>
              <w:pStyle w:val="BodyText"/>
              <w:keepNext/>
              <w:spacing w:before="0" w:after="0"/>
              <w:ind w:firstLine="0"/>
              <w:jc w:val="left"/>
              <w:rPr>
                <w:rFonts w:eastAsia="Times New Roman"/>
                <w:lang w:eastAsia="en-US"/>
              </w:rPr>
            </w:pPr>
            <w:r>
              <w:rPr>
                <w:rFonts w:eastAsia="Times New Roman"/>
                <w:lang w:eastAsia="en-US"/>
              </w:rPr>
              <w:t>Not Levelized</w:t>
            </w:r>
            <w:r w:rsidR="00AD4C71">
              <w:rPr>
                <w:rFonts w:eastAsia="Times New Roman"/>
                <w:lang w:eastAsia="en-US"/>
              </w:rPr>
              <w:t xml:space="preserve"> </w:t>
            </w:r>
            <w:r w:rsidR="000F4D54">
              <w:rPr>
                <w:rFonts w:eastAsia="Times New Roman"/>
                <w:lang w:eastAsia="en-US"/>
              </w:rPr>
              <w:t>(a)</w:t>
            </w:r>
          </w:p>
        </w:tc>
        <w:tc>
          <w:tcPr>
            <w:tcW w:w="1980" w:type="dxa"/>
            <w:tcBorders>
              <w:bottom w:val="single" w:sz="4" w:space="0" w:color="auto"/>
            </w:tcBorders>
            <w:vAlign w:val="center"/>
          </w:tcPr>
          <w:p w14:paraId="63D011F3" w14:textId="77777777" w:rsidR="000F4D54" w:rsidRPr="00452DFA" w:rsidRDefault="000F4D54" w:rsidP="005E6495">
            <w:pPr>
              <w:pStyle w:val="BodyText"/>
              <w:keepNext/>
              <w:spacing w:before="0" w:after="0"/>
              <w:ind w:firstLine="0"/>
              <w:jc w:val="right"/>
              <w:rPr>
                <w:rFonts w:eastAsia="Times New Roman"/>
                <w:b/>
                <w:lang w:eastAsia="en-US"/>
              </w:rPr>
            </w:pPr>
            <w:r>
              <w:rPr>
                <w:rFonts w:eastAsia="Times New Roman"/>
                <w:lang w:eastAsia="en-US"/>
              </w:rPr>
              <w:t>($4)</w:t>
            </w:r>
          </w:p>
        </w:tc>
        <w:tc>
          <w:tcPr>
            <w:tcW w:w="1980" w:type="dxa"/>
            <w:tcBorders>
              <w:bottom w:val="single" w:sz="4" w:space="0" w:color="auto"/>
            </w:tcBorders>
            <w:shd w:val="clear" w:color="auto" w:fill="auto"/>
            <w:vAlign w:val="center"/>
          </w:tcPr>
          <w:p w14:paraId="404D8E57" w14:textId="77777777" w:rsidR="000F4D54" w:rsidRPr="00E710CD" w:rsidRDefault="000F4D54" w:rsidP="005E6495">
            <w:pPr>
              <w:pStyle w:val="BodyText"/>
              <w:keepNext/>
              <w:spacing w:before="0" w:after="0"/>
              <w:ind w:firstLine="0"/>
              <w:jc w:val="right"/>
              <w:rPr>
                <w:rFonts w:eastAsia="Times New Roman"/>
                <w:lang w:eastAsia="en-US"/>
              </w:rPr>
            </w:pPr>
            <w:r w:rsidRPr="00E710CD">
              <w:rPr>
                <w:rFonts w:eastAsia="Times New Roman"/>
                <w:lang w:eastAsia="en-US"/>
              </w:rPr>
              <w:t>$230</w:t>
            </w:r>
          </w:p>
        </w:tc>
        <w:tc>
          <w:tcPr>
            <w:tcW w:w="2160" w:type="dxa"/>
            <w:tcBorders>
              <w:bottom w:val="single" w:sz="4" w:space="0" w:color="auto"/>
            </w:tcBorders>
            <w:shd w:val="clear" w:color="auto" w:fill="auto"/>
            <w:vAlign w:val="center"/>
          </w:tcPr>
          <w:p w14:paraId="7A5A6B21" w14:textId="77777777" w:rsidR="000F4D54" w:rsidRPr="00E710CD" w:rsidRDefault="000F4D54" w:rsidP="005E6495">
            <w:pPr>
              <w:pStyle w:val="BodyText"/>
              <w:keepNext/>
              <w:spacing w:before="0" w:after="0"/>
              <w:ind w:firstLine="0"/>
              <w:jc w:val="right"/>
              <w:rPr>
                <w:rFonts w:eastAsia="Times New Roman"/>
                <w:lang w:eastAsia="en-US"/>
              </w:rPr>
            </w:pPr>
            <w:r w:rsidRPr="00E710CD">
              <w:rPr>
                <w:rFonts w:eastAsia="Times New Roman"/>
                <w:lang w:eastAsia="en-US"/>
              </w:rPr>
              <w:t>$434</w:t>
            </w:r>
          </w:p>
        </w:tc>
      </w:tr>
      <w:tr w:rsidR="000F4D54" w14:paraId="47014E86" w14:textId="77777777" w:rsidTr="00F27A93">
        <w:tc>
          <w:tcPr>
            <w:tcW w:w="2160" w:type="dxa"/>
            <w:tcBorders>
              <w:bottom w:val="single" w:sz="4" w:space="0" w:color="auto"/>
            </w:tcBorders>
            <w:vAlign w:val="center"/>
          </w:tcPr>
          <w:p w14:paraId="420C1057" w14:textId="77777777" w:rsidR="000F4D54" w:rsidRDefault="000F4D54" w:rsidP="005E6495">
            <w:pPr>
              <w:pStyle w:val="BodyText"/>
              <w:keepNext/>
              <w:spacing w:before="0" w:after="0"/>
              <w:ind w:left="308" w:firstLine="0"/>
              <w:jc w:val="left"/>
              <w:rPr>
                <w:rFonts w:eastAsia="Times New Roman"/>
                <w:lang w:eastAsia="en-US"/>
              </w:rPr>
            </w:pPr>
            <w:r>
              <w:rPr>
                <w:rFonts w:eastAsia="Times New Roman"/>
                <w:lang w:eastAsia="en-US"/>
              </w:rPr>
              <w:t>CCR ARO (b)</w:t>
            </w:r>
          </w:p>
        </w:tc>
        <w:tc>
          <w:tcPr>
            <w:tcW w:w="1980" w:type="dxa"/>
            <w:tcBorders>
              <w:bottom w:val="single" w:sz="4" w:space="0" w:color="auto"/>
            </w:tcBorders>
            <w:vAlign w:val="center"/>
          </w:tcPr>
          <w:p w14:paraId="63DBB40B"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158</w:t>
            </w:r>
          </w:p>
        </w:tc>
        <w:tc>
          <w:tcPr>
            <w:tcW w:w="1980" w:type="dxa"/>
            <w:tcBorders>
              <w:bottom w:val="single" w:sz="4" w:space="0" w:color="auto"/>
            </w:tcBorders>
            <w:shd w:val="clear" w:color="auto" w:fill="auto"/>
            <w:vAlign w:val="center"/>
          </w:tcPr>
          <w:p w14:paraId="7E96ED0C" w14:textId="77777777" w:rsidR="000F4D54" w:rsidRPr="00452DFA" w:rsidRDefault="000F4D54" w:rsidP="005E6495">
            <w:pPr>
              <w:pStyle w:val="BodyText"/>
              <w:keepNext/>
              <w:spacing w:before="0" w:after="0"/>
              <w:ind w:firstLine="0"/>
              <w:jc w:val="right"/>
              <w:rPr>
                <w:rFonts w:eastAsia="Times New Roman"/>
                <w:b/>
                <w:lang w:eastAsia="en-US"/>
              </w:rPr>
            </w:pPr>
            <w:r>
              <w:rPr>
                <w:rFonts w:eastAsia="Times New Roman"/>
                <w:lang w:eastAsia="en-US"/>
              </w:rPr>
              <w:t>298</w:t>
            </w:r>
          </w:p>
        </w:tc>
        <w:tc>
          <w:tcPr>
            <w:tcW w:w="2160" w:type="dxa"/>
            <w:tcBorders>
              <w:bottom w:val="single" w:sz="4" w:space="0" w:color="auto"/>
            </w:tcBorders>
            <w:shd w:val="clear" w:color="auto" w:fill="auto"/>
            <w:vAlign w:val="center"/>
          </w:tcPr>
          <w:p w14:paraId="7F10EA81" w14:textId="77777777" w:rsidR="000F4D54" w:rsidRPr="00452DFA" w:rsidRDefault="000F4D54" w:rsidP="005E6495">
            <w:pPr>
              <w:pStyle w:val="BodyText"/>
              <w:keepNext/>
              <w:spacing w:before="0" w:after="0"/>
              <w:ind w:firstLine="0"/>
              <w:jc w:val="right"/>
              <w:rPr>
                <w:rFonts w:eastAsia="Times New Roman"/>
                <w:b/>
                <w:lang w:eastAsia="en-US"/>
              </w:rPr>
            </w:pPr>
            <w:r>
              <w:rPr>
                <w:rFonts w:eastAsia="Times New Roman"/>
                <w:lang w:eastAsia="en-US"/>
              </w:rPr>
              <w:t>525</w:t>
            </w:r>
          </w:p>
        </w:tc>
      </w:tr>
      <w:tr w:rsidR="000F4D54" w14:paraId="5D2F17C7" w14:textId="77777777" w:rsidTr="00F27A93">
        <w:trPr>
          <w:trHeight w:val="314"/>
        </w:trPr>
        <w:tc>
          <w:tcPr>
            <w:tcW w:w="2160" w:type="dxa"/>
            <w:tcBorders>
              <w:top w:val="single" w:sz="4" w:space="0" w:color="auto"/>
            </w:tcBorders>
            <w:vAlign w:val="center"/>
          </w:tcPr>
          <w:p w14:paraId="182E47AB" w14:textId="77777777" w:rsidR="000F4D54" w:rsidRDefault="000F4D54" w:rsidP="005E6495">
            <w:pPr>
              <w:pStyle w:val="BodyText"/>
              <w:keepNext/>
              <w:spacing w:before="0" w:after="0"/>
              <w:ind w:firstLine="0"/>
              <w:jc w:val="left"/>
              <w:rPr>
                <w:rFonts w:eastAsia="Times New Roman"/>
                <w:lang w:eastAsia="en-US"/>
              </w:rPr>
            </w:pPr>
            <w:r>
              <w:rPr>
                <w:rFonts w:eastAsia="Times New Roman"/>
                <w:lang w:eastAsia="en-US"/>
              </w:rPr>
              <w:t>ECCR (c)</w:t>
            </w:r>
          </w:p>
        </w:tc>
        <w:tc>
          <w:tcPr>
            <w:tcW w:w="1980" w:type="dxa"/>
            <w:tcBorders>
              <w:top w:val="single" w:sz="4" w:space="0" w:color="auto"/>
            </w:tcBorders>
            <w:vAlign w:val="center"/>
          </w:tcPr>
          <w:p w14:paraId="42802E8F"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184</w:t>
            </w:r>
          </w:p>
        </w:tc>
        <w:tc>
          <w:tcPr>
            <w:tcW w:w="1980" w:type="dxa"/>
            <w:tcBorders>
              <w:top w:val="single" w:sz="4" w:space="0" w:color="auto"/>
            </w:tcBorders>
            <w:shd w:val="clear" w:color="auto" w:fill="auto"/>
            <w:vAlign w:val="center"/>
          </w:tcPr>
          <w:p w14:paraId="4A86E9B5"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167</w:t>
            </w:r>
          </w:p>
        </w:tc>
        <w:tc>
          <w:tcPr>
            <w:tcW w:w="2160" w:type="dxa"/>
            <w:tcBorders>
              <w:top w:val="single" w:sz="4" w:space="0" w:color="auto"/>
            </w:tcBorders>
            <w:shd w:val="clear" w:color="auto" w:fill="auto"/>
            <w:vAlign w:val="center"/>
          </w:tcPr>
          <w:p w14:paraId="34C0A2B7"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141</w:t>
            </w:r>
          </w:p>
        </w:tc>
      </w:tr>
      <w:tr w:rsidR="000F4D54" w14:paraId="3831B7A0" w14:textId="77777777" w:rsidTr="005E6495">
        <w:tc>
          <w:tcPr>
            <w:tcW w:w="2160" w:type="dxa"/>
            <w:vAlign w:val="center"/>
          </w:tcPr>
          <w:p w14:paraId="72B00A34" w14:textId="77777777" w:rsidR="000F4D54" w:rsidRDefault="000F4D54" w:rsidP="005E6495">
            <w:pPr>
              <w:pStyle w:val="BodyText"/>
              <w:keepNext/>
              <w:spacing w:before="0" w:after="0"/>
              <w:ind w:firstLine="0"/>
              <w:jc w:val="left"/>
              <w:rPr>
                <w:rFonts w:eastAsia="Times New Roman"/>
                <w:lang w:eastAsia="en-US"/>
              </w:rPr>
            </w:pPr>
            <w:r>
              <w:rPr>
                <w:rFonts w:eastAsia="Times New Roman"/>
                <w:lang w:eastAsia="en-US"/>
              </w:rPr>
              <w:t>DSM* (d)</w:t>
            </w:r>
          </w:p>
        </w:tc>
        <w:tc>
          <w:tcPr>
            <w:tcW w:w="1980" w:type="dxa"/>
            <w:vAlign w:val="center"/>
          </w:tcPr>
          <w:p w14:paraId="66844FB8"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14</w:t>
            </w:r>
          </w:p>
        </w:tc>
        <w:tc>
          <w:tcPr>
            <w:tcW w:w="1980" w:type="dxa"/>
            <w:shd w:val="clear" w:color="auto" w:fill="FFFFFF" w:themeFill="background1"/>
            <w:vAlign w:val="center"/>
          </w:tcPr>
          <w:p w14:paraId="7CF33628"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16</w:t>
            </w:r>
          </w:p>
        </w:tc>
        <w:tc>
          <w:tcPr>
            <w:tcW w:w="2160" w:type="dxa"/>
            <w:shd w:val="clear" w:color="auto" w:fill="FFFFFF" w:themeFill="background1"/>
            <w:vAlign w:val="center"/>
          </w:tcPr>
          <w:p w14:paraId="1971A773" w14:textId="77777777" w:rsidR="000F4D54" w:rsidRDefault="000F4D54" w:rsidP="005E6495">
            <w:pPr>
              <w:pStyle w:val="BodyText"/>
              <w:keepNext/>
              <w:spacing w:before="0" w:after="0"/>
              <w:ind w:firstLine="0"/>
              <w:jc w:val="right"/>
              <w:rPr>
                <w:rFonts w:eastAsia="Times New Roman"/>
                <w:lang w:eastAsia="en-US"/>
              </w:rPr>
            </w:pPr>
            <w:r>
              <w:rPr>
                <w:rFonts w:eastAsia="Times New Roman"/>
                <w:lang w:eastAsia="en-US"/>
              </w:rPr>
              <w:t>17</w:t>
            </w:r>
          </w:p>
        </w:tc>
      </w:tr>
      <w:tr w:rsidR="000F4D54" w:rsidRPr="001514AC" w14:paraId="0653F295" w14:textId="77777777" w:rsidTr="005E6495">
        <w:tc>
          <w:tcPr>
            <w:tcW w:w="2160" w:type="dxa"/>
            <w:tcBorders>
              <w:bottom w:val="single" w:sz="12" w:space="0" w:color="auto"/>
            </w:tcBorders>
            <w:vAlign w:val="center"/>
          </w:tcPr>
          <w:p w14:paraId="665E4E96" w14:textId="77777777" w:rsidR="000F4D54" w:rsidRDefault="000F4D54" w:rsidP="005E6495">
            <w:pPr>
              <w:pStyle w:val="BodyText"/>
              <w:keepNext/>
              <w:spacing w:before="0" w:after="0"/>
              <w:ind w:firstLine="0"/>
              <w:jc w:val="left"/>
              <w:rPr>
                <w:rFonts w:eastAsia="Times New Roman"/>
                <w:lang w:eastAsia="en-US"/>
              </w:rPr>
            </w:pPr>
            <w:r>
              <w:rPr>
                <w:rFonts w:eastAsia="Times New Roman"/>
                <w:lang w:eastAsia="en-US"/>
              </w:rPr>
              <w:t>MFF</w:t>
            </w:r>
          </w:p>
        </w:tc>
        <w:tc>
          <w:tcPr>
            <w:tcW w:w="1980" w:type="dxa"/>
            <w:tcBorders>
              <w:bottom w:val="single" w:sz="12" w:space="0" w:color="auto"/>
            </w:tcBorders>
            <w:vAlign w:val="center"/>
          </w:tcPr>
          <w:p w14:paraId="4AF9CC0C" w14:textId="77777777" w:rsidR="000F4D54" w:rsidRPr="00851547" w:rsidRDefault="000F4D54" w:rsidP="005E6495">
            <w:pPr>
              <w:pStyle w:val="BodyText"/>
              <w:keepNext/>
              <w:spacing w:before="0" w:after="0"/>
              <w:ind w:firstLine="0"/>
              <w:jc w:val="right"/>
              <w:rPr>
                <w:rFonts w:eastAsia="Times New Roman"/>
                <w:lang w:eastAsia="en-US"/>
              </w:rPr>
            </w:pPr>
            <w:r w:rsidRPr="00851547">
              <w:rPr>
                <w:rFonts w:eastAsia="Times New Roman"/>
                <w:lang w:eastAsia="en-US"/>
              </w:rPr>
              <w:t>12</w:t>
            </w:r>
          </w:p>
        </w:tc>
        <w:tc>
          <w:tcPr>
            <w:tcW w:w="1980" w:type="dxa"/>
            <w:tcBorders>
              <w:bottom w:val="single" w:sz="12" w:space="0" w:color="auto"/>
            </w:tcBorders>
            <w:shd w:val="clear" w:color="auto" w:fill="FFFFFF" w:themeFill="background1"/>
            <w:vAlign w:val="center"/>
          </w:tcPr>
          <w:p w14:paraId="6C15D65A" w14:textId="77777777" w:rsidR="000F4D54" w:rsidRPr="00851547" w:rsidRDefault="000F4D54" w:rsidP="005E6495">
            <w:pPr>
              <w:pStyle w:val="BodyText"/>
              <w:keepNext/>
              <w:spacing w:before="0" w:after="0"/>
              <w:ind w:firstLine="0"/>
              <w:jc w:val="right"/>
              <w:rPr>
                <w:rFonts w:eastAsia="Times New Roman"/>
                <w:lang w:eastAsia="en-US"/>
              </w:rPr>
            </w:pPr>
            <w:r>
              <w:rPr>
                <w:rFonts w:eastAsia="Times New Roman"/>
                <w:lang w:eastAsia="en-US"/>
              </w:rPr>
              <w:t>21</w:t>
            </w:r>
          </w:p>
        </w:tc>
        <w:tc>
          <w:tcPr>
            <w:tcW w:w="2160" w:type="dxa"/>
            <w:tcBorders>
              <w:bottom w:val="single" w:sz="12" w:space="0" w:color="auto"/>
            </w:tcBorders>
            <w:shd w:val="clear" w:color="auto" w:fill="FFFFFF" w:themeFill="background1"/>
            <w:vAlign w:val="center"/>
          </w:tcPr>
          <w:p w14:paraId="1CCD2D6A" w14:textId="77777777" w:rsidR="000F4D54" w:rsidRPr="00851547" w:rsidRDefault="000F4D54" w:rsidP="005E6495">
            <w:pPr>
              <w:pStyle w:val="BodyText"/>
              <w:keepNext/>
              <w:spacing w:before="0" w:after="0"/>
              <w:ind w:firstLine="0"/>
              <w:jc w:val="right"/>
              <w:rPr>
                <w:rFonts w:eastAsia="Times New Roman"/>
                <w:lang w:eastAsia="en-US"/>
              </w:rPr>
            </w:pPr>
            <w:r>
              <w:rPr>
                <w:rFonts w:eastAsia="Times New Roman"/>
                <w:lang w:eastAsia="en-US"/>
              </w:rPr>
              <w:t>30</w:t>
            </w:r>
          </w:p>
        </w:tc>
      </w:tr>
      <w:tr w:rsidR="000F4D54" w14:paraId="5B05CFE2" w14:textId="77777777" w:rsidTr="005E6495">
        <w:tc>
          <w:tcPr>
            <w:tcW w:w="2160" w:type="dxa"/>
            <w:tcBorders>
              <w:top w:val="single" w:sz="12" w:space="0" w:color="auto"/>
            </w:tcBorders>
            <w:vAlign w:val="center"/>
          </w:tcPr>
          <w:p w14:paraId="5D8E0502" w14:textId="77777777" w:rsidR="000F4D54" w:rsidRPr="00F91C82" w:rsidRDefault="000F4D54" w:rsidP="005E6495">
            <w:pPr>
              <w:pStyle w:val="BodyText"/>
              <w:keepNext/>
              <w:spacing w:before="0" w:after="0"/>
              <w:ind w:firstLine="0"/>
              <w:jc w:val="left"/>
              <w:rPr>
                <w:rFonts w:eastAsia="Times New Roman"/>
                <w:b/>
                <w:lang w:eastAsia="en-US"/>
              </w:rPr>
            </w:pPr>
            <w:r w:rsidRPr="00F91C82">
              <w:rPr>
                <w:rFonts w:eastAsia="Times New Roman"/>
                <w:b/>
                <w:lang w:eastAsia="en-US"/>
              </w:rPr>
              <w:t>Total ($)</w:t>
            </w:r>
          </w:p>
        </w:tc>
        <w:tc>
          <w:tcPr>
            <w:tcW w:w="1980" w:type="dxa"/>
            <w:tcBorders>
              <w:top w:val="single" w:sz="12" w:space="0" w:color="auto"/>
            </w:tcBorders>
            <w:vAlign w:val="center"/>
          </w:tcPr>
          <w:p w14:paraId="2C63177D" w14:textId="77777777" w:rsidR="000F4D54" w:rsidRPr="00F91C82" w:rsidRDefault="000F4D54" w:rsidP="005E6495">
            <w:pPr>
              <w:pStyle w:val="BodyText"/>
              <w:keepNext/>
              <w:spacing w:before="0" w:after="0"/>
              <w:ind w:firstLine="0"/>
              <w:jc w:val="right"/>
              <w:rPr>
                <w:rFonts w:eastAsia="Times New Roman"/>
                <w:b/>
                <w:lang w:eastAsia="en-US"/>
              </w:rPr>
            </w:pPr>
            <w:r w:rsidRPr="00F91C82">
              <w:rPr>
                <w:rFonts w:eastAsia="Times New Roman"/>
                <w:b/>
                <w:lang w:eastAsia="en-US"/>
              </w:rPr>
              <w:t>$</w:t>
            </w:r>
            <w:r>
              <w:rPr>
                <w:rFonts w:eastAsia="Times New Roman"/>
                <w:b/>
                <w:lang w:eastAsia="en-US"/>
              </w:rPr>
              <w:t>364</w:t>
            </w:r>
          </w:p>
        </w:tc>
        <w:tc>
          <w:tcPr>
            <w:tcW w:w="1980" w:type="dxa"/>
            <w:tcBorders>
              <w:top w:val="single" w:sz="12" w:space="0" w:color="auto"/>
            </w:tcBorders>
            <w:vAlign w:val="center"/>
          </w:tcPr>
          <w:p w14:paraId="7088D041" w14:textId="77777777" w:rsidR="000F4D54" w:rsidRPr="00F91C82" w:rsidRDefault="000F4D54" w:rsidP="005E6495">
            <w:pPr>
              <w:pStyle w:val="BodyText"/>
              <w:keepNext/>
              <w:spacing w:before="0" w:after="0"/>
              <w:ind w:firstLine="0"/>
              <w:jc w:val="right"/>
              <w:rPr>
                <w:rFonts w:eastAsia="Times New Roman"/>
                <w:b/>
                <w:lang w:eastAsia="en-US"/>
              </w:rPr>
            </w:pPr>
            <w:r w:rsidRPr="00F91C82">
              <w:rPr>
                <w:rFonts w:eastAsia="Times New Roman"/>
                <w:b/>
                <w:lang w:eastAsia="en-US"/>
              </w:rPr>
              <w:t>$</w:t>
            </w:r>
            <w:r>
              <w:rPr>
                <w:rFonts w:eastAsia="Times New Roman"/>
                <w:b/>
                <w:lang w:eastAsia="en-US"/>
              </w:rPr>
              <w:t>732</w:t>
            </w:r>
          </w:p>
        </w:tc>
        <w:tc>
          <w:tcPr>
            <w:tcW w:w="2160" w:type="dxa"/>
            <w:tcBorders>
              <w:top w:val="single" w:sz="12" w:space="0" w:color="auto"/>
            </w:tcBorders>
            <w:vAlign w:val="center"/>
          </w:tcPr>
          <w:p w14:paraId="4BAA3025" w14:textId="77777777" w:rsidR="000F4D54" w:rsidRPr="00F91C82" w:rsidRDefault="000F4D54" w:rsidP="005E6495">
            <w:pPr>
              <w:pStyle w:val="BodyText"/>
              <w:keepNext/>
              <w:spacing w:before="0" w:after="0"/>
              <w:ind w:firstLine="0"/>
              <w:jc w:val="right"/>
              <w:rPr>
                <w:rFonts w:eastAsia="Times New Roman"/>
                <w:b/>
                <w:lang w:eastAsia="en-US"/>
              </w:rPr>
            </w:pPr>
            <w:r w:rsidRPr="00F91C82">
              <w:rPr>
                <w:rFonts w:eastAsia="Times New Roman"/>
                <w:b/>
                <w:lang w:eastAsia="en-US"/>
              </w:rPr>
              <w:t>$</w:t>
            </w:r>
            <w:r>
              <w:rPr>
                <w:rFonts w:eastAsia="Times New Roman"/>
                <w:b/>
                <w:lang w:eastAsia="en-US"/>
              </w:rPr>
              <w:t>1,147</w:t>
            </w:r>
          </w:p>
        </w:tc>
      </w:tr>
    </w:tbl>
    <w:p w14:paraId="09050625" w14:textId="1ED926E7" w:rsidR="000F4D54" w:rsidRDefault="002F0A14" w:rsidP="00F27A93">
      <w:pPr>
        <w:spacing w:line="360" w:lineRule="auto"/>
        <w:ind w:firstLine="720"/>
        <w:jc w:val="both"/>
        <w:rPr>
          <w:rFonts w:eastAsia="Times New Roman"/>
          <w:sz w:val="20"/>
          <w:lang w:eastAsia="en-US"/>
        </w:rPr>
      </w:pPr>
      <w:r>
        <w:rPr>
          <w:rFonts w:eastAsia="Times New Roman"/>
          <w:sz w:val="20"/>
          <w:lang w:eastAsia="en-US"/>
        </w:rPr>
        <w:t xml:space="preserve">   </w:t>
      </w:r>
      <w:r w:rsidR="000F4D54" w:rsidRPr="00AB41F9">
        <w:rPr>
          <w:rFonts w:eastAsia="Times New Roman"/>
          <w:sz w:val="20"/>
          <w:lang w:eastAsia="en-US"/>
        </w:rPr>
        <w:t>*As determined by the Commission</w:t>
      </w:r>
      <w:r w:rsidR="00233F43">
        <w:rPr>
          <w:rFonts w:eastAsia="Times New Roman"/>
          <w:sz w:val="20"/>
          <w:lang w:eastAsia="en-US"/>
        </w:rPr>
        <w:t xml:space="preserve"> through annual DSM filings</w:t>
      </w:r>
      <w:r w:rsidR="003D4CF3">
        <w:rPr>
          <w:rFonts w:eastAsia="Times New Roman"/>
          <w:sz w:val="20"/>
          <w:lang w:eastAsia="en-US"/>
        </w:rPr>
        <w:t xml:space="preserve">.  </w:t>
      </w:r>
      <w:r w:rsidR="000F4D54" w:rsidRPr="00AB41F9">
        <w:rPr>
          <w:rFonts w:eastAsia="Times New Roman"/>
          <w:sz w:val="20"/>
          <w:lang w:eastAsia="en-US"/>
        </w:rPr>
        <w:tab/>
      </w:r>
    </w:p>
    <w:p w14:paraId="20C96248" w14:textId="77777777" w:rsidR="002A7A2E" w:rsidRDefault="002A7A2E">
      <w:pPr>
        <w:pStyle w:val="BodyText"/>
        <w:keepNext/>
        <w:spacing w:before="0" w:after="0"/>
        <w:ind w:left="1440" w:firstLine="0"/>
        <w:jc w:val="left"/>
        <w:rPr>
          <w:rFonts w:eastAsia="Times New Roman"/>
          <w:i/>
          <w:sz w:val="20"/>
          <w:szCs w:val="20"/>
          <w:lang w:eastAsia="en-US"/>
        </w:rPr>
      </w:pPr>
      <w:r w:rsidRPr="002D2291">
        <w:rPr>
          <w:rFonts w:eastAsia="Times New Roman"/>
          <w:i/>
          <w:sz w:val="20"/>
          <w:szCs w:val="20"/>
          <w:lang w:eastAsia="en-US"/>
        </w:rPr>
        <w:t>See the following for exhibits</w:t>
      </w:r>
      <w:r>
        <w:rPr>
          <w:rFonts w:eastAsia="Times New Roman"/>
          <w:i/>
          <w:sz w:val="20"/>
          <w:szCs w:val="20"/>
          <w:lang w:eastAsia="en-US"/>
        </w:rPr>
        <w:t xml:space="preserve"> supporting Table 2: </w:t>
      </w:r>
    </w:p>
    <w:p w14:paraId="68CC1768" w14:textId="77777777" w:rsidR="000F4D54" w:rsidRPr="00452F8D" w:rsidRDefault="000F4D54" w:rsidP="00F27A93">
      <w:pPr>
        <w:pStyle w:val="BodyText"/>
        <w:spacing w:before="0" w:after="0"/>
        <w:ind w:left="720"/>
        <w:rPr>
          <w:rFonts w:eastAsia="Times New Roman"/>
          <w:sz w:val="20"/>
          <w:szCs w:val="20"/>
          <w:lang w:eastAsia="en-US"/>
        </w:rPr>
      </w:pPr>
      <w:r w:rsidRPr="00452F8D">
        <w:rPr>
          <w:rFonts w:eastAsia="Times New Roman"/>
          <w:sz w:val="20"/>
          <w:szCs w:val="20"/>
          <w:lang w:eastAsia="en-US"/>
        </w:rPr>
        <w:t>(a)</w:t>
      </w:r>
      <w:r w:rsidRPr="00452F8D">
        <w:rPr>
          <w:rFonts w:eastAsia="Times New Roman"/>
          <w:sz w:val="20"/>
          <w:szCs w:val="20"/>
          <w:lang w:eastAsia="en-US"/>
        </w:rPr>
        <w:tab/>
        <w:t xml:space="preserve">Exhibit___(DPP/SPA/MBR-1, Schedule 2 Traditional Base) Page </w:t>
      </w:r>
      <w:r>
        <w:rPr>
          <w:rFonts w:eastAsia="Times New Roman"/>
          <w:sz w:val="20"/>
          <w:szCs w:val="20"/>
          <w:lang w:eastAsia="en-US"/>
        </w:rPr>
        <w:t>3</w:t>
      </w:r>
    </w:p>
    <w:p w14:paraId="78AAD3E9" w14:textId="77777777" w:rsidR="000F4D54" w:rsidRPr="00452F8D" w:rsidRDefault="000F4D54" w:rsidP="00F27A93">
      <w:pPr>
        <w:pStyle w:val="BodyText"/>
        <w:spacing w:before="0" w:after="0"/>
        <w:ind w:left="720"/>
        <w:rPr>
          <w:rFonts w:eastAsia="Times New Roman"/>
          <w:sz w:val="20"/>
          <w:szCs w:val="20"/>
          <w:lang w:eastAsia="en-US"/>
        </w:rPr>
      </w:pPr>
      <w:r w:rsidRPr="00452F8D">
        <w:rPr>
          <w:rFonts w:eastAsia="Times New Roman"/>
          <w:sz w:val="20"/>
          <w:szCs w:val="20"/>
          <w:lang w:eastAsia="en-US"/>
        </w:rPr>
        <w:t>(b)</w:t>
      </w:r>
      <w:r w:rsidRPr="00452F8D">
        <w:rPr>
          <w:rFonts w:eastAsia="Times New Roman"/>
          <w:sz w:val="20"/>
          <w:szCs w:val="20"/>
          <w:lang w:eastAsia="en-US"/>
        </w:rPr>
        <w:tab/>
        <w:t xml:space="preserve">Exhibit___(DPP/SPA/MBR-1, Schedule 2 Traditional Base) Page </w:t>
      </w:r>
      <w:r>
        <w:rPr>
          <w:rFonts w:eastAsia="Times New Roman"/>
          <w:sz w:val="20"/>
          <w:szCs w:val="20"/>
          <w:lang w:eastAsia="en-US"/>
        </w:rPr>
        <w:t>4</w:t>
      </w:r>
    </w:p>
    <w:p w14:paraId="4C907766" w14:textId="77777777" w:rsidR="000F4D54" w:rsidRPr="00452F8D" w:rsidRDefault="000F4D54" w:rsidP="00F27A93">
      <w:pPr>
        <w:pStyle w:val="BodyText"/>
        <w:spacing w:before="0" w:after="0"/>
        <w:ind w:left="720"/>
        <w:rPr>
          <w:rFonts w:eastAsia="Times New Roman"/>
          <w:sz w:val="20"/>
          <w:szCs w:val="20"/>
          <w:lang w:eastAsia="en-US"/>
        </w:rPr>
      </w:pPr>
      <w:r w:rsidRPr="00452F8D">
        <w:rPr>
          <w:rFonts w:eastAsia="Times New Roman"/>
          <w:sz w:val="20"/>
          <w:szCs w:val="20"/>
          <w:lang w:eastAsia="en-US"/>
        </w:rPr>
        <w:t>(c)</w:t>
      </w:r>
      <w:r w:rsidRPr="00452F8D">
        <w:rPr>
          <w:rFonts w:eastAsia="Times New Roman"/>
          <w:sz w:val="20"/>
          <w:szCs w:val="20"/>
          <w:lang w:eastAsia="en-US"/>
        </w:rPr>
        <w:tab/>
        <w:t xml:space="preserve">Exhibit___(DPP/SPA/MBR-1, Schedule 3 ECCR) Page </w:t>
      </w:r>
      <w:r>
        <w:rPr>
          <w:rFonts w:eastAsia="Times New Roman"/>
          <w:sz w:val="20"/>
          <w:szCs w:val="20"/>
          <w:lang w:eastAsia="en-US"/>
        </w:rPr>
        <w:t>3</w:t>
      </w:r>
    </w:p>
    <w:p w14:paraId="5D41514E" w14:textId="77777777" w:rsidR="00BA2381" w:rsidRDefault="000F4D54" w:rsidP="00F27A93">
      <w:pPr>
        <w:ind w:left="720" w:firstLine="720"/>
        <w:jc w:val="both"/>
        <w:rPr>
          <w:rFonts w:eastAsia="Times New Roman"/>
          <w:sz w:val="20"/>
          <w:szCs w:val="20"/>
          <w:lang w:eastAsia="en-US"/>
        </w:rPr>
      </w:pPr>
      <w:r w:rsidRPr="00452F8D">
        <w:rPr>
          <w:rFonts w:eastAsia="Times New Roman"/>
          <w:sz w:val="20"/>
          <w:szCs w:val="20"/>
          <w:lang w:eastAsia="en-US"/>
        </w:rPr>
        <w:t>(d)</w:t>
      </w:r>
      <w:r w:rsidRPr="00452F8D">
        <w:rPr>
          <w:rFonts w:eastAsia="Times New Roman"/>
          <w:sz w:val="20"/>
          <w:szCs w:val="20"/>
          <w:lang w:eastAsia="en-US"/>
        </w:rPr>
        <w:tab/>
        <w:t>Exhibit___(DPP/SPA/MBR-1, Schedule 4 DSM) Page 1</w:t>
      </w:r>
    </w:p>
    <w:p w14:paraId="2DD90197" w14:textId="77777777" w:rsidR="002A7A2E" w:rsidRDefault="002A7A2E" w:rsidP="00BA2381">
      <w:pPr>
        <w:spacing w:line="360" w:lineRule="auto"/>
        <w:ind w:left="720" w:firstLine="720"/>
        <w:jc w:val="both"/>
        <w:rPr>
          <w:highlight w:val="yellow"/>
        </w:rPr>
      </w:pPr>
    </w:p>
    <w:p w14:paraId="2F795702" w14:textId="7E7AB285" w:rsidR="001511AA" w:rsidRDefault="004A16AD" w:rsidP="00F94068">
      <w:pPr>
        <w:spacing w:line="360" w:lineRule="auto"/>
        <w:ind w:left="720" w:hanging="720"/>
        <w:jc w:val="both"/>
      </w:pPr>
      <w:r>
        <w:tab/>
        <w:t>A</w:t>
      </w:r>
      <w:r w:rsidR="00D234F7">
        <w:t xml:space="preserve">s </w:t>
      </w:r>
      <w:r w:rsidR="00C34281">
        <w:t>Table 2</w:t>
      </w:r>
      <w:r w:rsidR="00D234F7">
        <w:t xml:space="preserve"> illustrates, the Company’s projected revenue requirement in 2020 is lower, but the 2021 and 2022 </w:t>
      </w:r>
      <w:r w:rsidR="00D234F7" w:rsidRPr="00D65977">
        <w:t>revenue requirement</w:t>
      </w:r>
      <w:r w:rsidR="00D234F7">
        <w:t xml:space="preserve">s are </w:t>
      </w:r>
      <w:r w:rsidR="00D234F7" w:rsidRPr="00D65977">
        <w:t>higher than</w:t>
      </w:r>
      <w:r w:rsidR="00D234F7">
        <w:t xml:space="preserve"> the levelized revenue requirement over the three-year period</w:t>
      </w:r>
      <w:r w:rsidR="00D234F7" w:rsidRPr="00D65977">
        <w:t>.</w:t>
      </w:r>
      <w:r w:rsidR="00D234F7">
        <w:t xml:space="preserve"> Of course, using an annual rate case structure</w:t>
      </w:r>
      <w:r w:rsidR="009A58D6">
        <w:t>,</w:t>
      </w:r>
      <w:r w:rsidR="00D234F7">
        <w:t xml:space="preserve"> the</w:t>
      </w:r>
      <w:r w:rsidR="00CD1A3C">
        <w:t xml:space="preserve"> projected</w:t>
      </w:r>
      <w:r w:rsidR="00D234F7">
        <w:t xml:space="preserve"> costs can change and the </w:t>
      </w:r>
      <w:r w:rsidR="00C34281">
        <w:t xml:space="preserve">ultimate </w:t>
      </w:r>
      <w:r w:rsidR="00D234F7">
        <w:t xml:space="preserve">amount of rate change from year to year </w:t>
      </w:r>
      <w:r w:rsidR="00C34281">
        <w:t>creates uncertainty for our customers</w:t>
      </w:r>
      <w:r w:rsidR="00D234F7">
        <w:t xml:space="preserve">.  </w:t>
      </w:r>
    </w:p>
    <w:p w14:paraId="5D0BC3AA" w14:textId="77777777" w:rsidR="00D234F7" w:rsidRDefault="00D234F7" w:rsidP="00F94068">
      <w:pPr>
        <w:spacing w:line="360" w:lineRule="auto"/>
        <w:ind w:left="720" w:hanging="720"/>
        <w:jc w:val="both"/>
      </w:pPr>
    </w:p>
    <w:p w14:paraId="475A0D6F" w14:textId="5926252C" w:rsidR="00E67FC2" w:rsidRDefault="00D234F7" w:rsidP="00CF6243">
      <w:pPr>
        <w:spacing w:line="360" w:lineRule="auto"/>
        <w:ind w:left="720" w:hanging="720"/>
        <w:jc w:val="both"/>
      </w:pPr>
      <w:r>
        <w:tab/>
        <w:t>Rather than annual rate increases</w:t>
      </w:r>
      <w:r w:rsidR="00535E9C">
        <w:t xml:space="preserve"> </w:t>
      </w:r>
      <w:r w:rsidR="00C34281">
        <w:t xml:space="preserve">to address the </w:t>
      </w:r>
      <w:r w:rsidR="00535E9C">
        <w:t>total revenue requirement</w:t>
      </w:r>
      <w:r>
        <w:t xml:space="preserve">, and their uncertain outcomes for both the Company and our customers, we propose </w:t>
      </w:r>
      <w:r w:rsidR="00535E9C">
        <w:t>continuing</w:t>
      </w:r>
      <w:r>
        <w:t xml:space="preserve"> the three-year </w:t>
      </w:r>
      <w:r w:rsidR="00A615D2">
        <w:t>ARP</w:t>
      </w:r>
      <w:r>
        <w:t xml:space="preserve"> with its rate certainty and </w:t>
      </w:r>
      <w:r w:rsidR="00C34281">
        <w:t xml:space="preserve">protections for customers through the existing </w:t>
      </w:r>
      <w:r>
        <w:t>earning</w:t>
      </w:r>
      <w:r w:rsidR="00EF7D91">
        <w:t>s</w:t>
      </w:r>
      <w:r>
        <w:t xml:space="preserve"> sharing mechanism. </w:t>
      </w:r>
      <w:r w:rsidR="00122F6D">
        <w:t xml:space="preserve"> </w:t>
      </w:r>
      <w:r w:rsidR="00607E63">
        <w:t xml:space="preserve">As </w:t>
      </w:r>
      <w:r w:rsidR="000B4D94">
        <w:t xml:space="preserve">Table 2 above </w:t>
      </w:r>
      <w:r w:rsidR="00CE6AFD">
        <w:t>clearly illustrates</w:t>
      </w:r>
      <w:r w:rsidR="00607E63">
        <w:t>, even with the factors offsetting the increase to revenue requirements, the Company still has a revenue deficiency</w:t>
      </w:r>
      <w:r w:rsidR="002F0A14">
        <w:t xml:space="preserve"> in each year 2020 through 2022</w:t>
      </w:r>
      <w:r w:rsidR="00607E63">
        <w:t xml:space="preserve">. </w:t>
      </w:r>
      <w:r w:rsidR="00E67FC2">
        <w:br w:type="page"/>
      </w:r>
    </w:p>
    <w:p w14:paraId="7021F59F" w14:textId="5193B7E8" w:rsidR="00972C27" w:rsidRPr="00C23928" w:rsidRDefault="00C827B4" w:rsidP="00890774">
      <w:pPr>
        <w:pStyle w:val="OutlineL1"/>
        <w:numPr>
          <w:ilvl w:val="0"/>
          <w:numId w:val="0"/>
        </w:numPr>
        <w:spacing w:after="0" w:line="360" w:lineRule="auto"/>
        <w:ind w:left="720"/>
        <w:rPr>
          <w:u w:val="none"/>
        </w:rPr>
      </w:pPr>
      <w:r w:rsidRPr="00C827B4">
        <w:rPr>
          <w:u w:val="none"/>
        </w:rPr>
        <w:lastRenderedPageBreak/>
        <w:t xml:space="preserve">III.  </w:t>
      </w:r>
      <w:r w:rsidRPr="00C827B4">
        <w:rPr>
          <w:u w:val="none"/>
        </w:rPr>
        <w:tab/>
      </w:r>
      <w:r w:rsidR="00A75511" w:rsidRPr="00C23928">
        <w:t>THE PROPOSED ALTERNAT</w:t>
      </w:r>
      <w:r w:rsidR="00303275">
        <w:t>E</w:t>
      </w:r>
      <w:r w:rsidR="00A75511" w:rsidRPr="00C23928">
        <w:t xml:space="preserve"> RATE PLAN</w:t>
      </w:r>
    </w:p>
    <w:p w14:paraId="50F789F0" w14:textId="77777777" w:rsidR="00890774" w:rsidRDefault="00890774" w:rsidP="00890774">
      <w:pPr>
        <w:spacing w:line="360" w:lineRule="auto"/>
        <w:ind w:left="720" w:hanging="720"/>
        <w:jc w:val="both"/>
        <w:rPr>
          <w:b/>
        </w:rPr>
      </w:pPr>
    </w:p>
    <w:p w14:paraId="61D8C3BB" w14:textId="7C5E83E9" w:rsidR="007E53A1" w:rsidRPr="005F19CB" w:rsidRDefault="007E53A1" w:rsidP="007E53A1">
      <w:pPr>
        <w:spacing w:line="360" w:lineRule="auto"/>
        <w:ind w:left="720" w:hanging="720"/>
        <w:jc w:val="both"/>
        <w:rPr>
          <w:b/>
        </w:rPr>
      </w:pPr>
      <w:r w:rsidRPr="005F19CB">
        <w:rPr>
          <w:b/>
        </w:rPr>
        <w:t>Q.</w:t>
      </w:r>
      <w:r w:rsidRPr="005F19CB">
        <w:rPr>
          <w:b/>
        </w:rPr>
        <w:tab/>
      </w:r>
      <w:r w:rsidR="003770C6">
        <w:rPr>
          <w:b/>
        </w:rPr>
        <w:t xml:space="preserve">HOW DOES THE COMPANY PROPOSE TO COLLECT </w:t>
      </w:r>
      <w:r w:rsidR="00CE6AFD">
        <w:rPr>
          <w:b/>
        </w:rPr>
        <w:t xml:space="preserve">THE </w:t>
      </w:r>
      <w:r w:rsidR="003770C6">
        <w:rPr>
          <w:b/>
        </w:rPr>
        <w:t>REVENUE REQUIREMENT UNDER ITS PROPOSED THREE</w:t>
      </w:r>
      <w:r w:rsidR="002F0A14">
        <w:rPr>
          <w:b/>
        </w:rPr>
        <w:t>-</w:t>
      </w:r>
      <w:r w:rsidR="003770C6">
        <w:rPr>
          <w:b/>
        </w:rPr>
        <w:t xml:space="preserve">YEAR (2020 – 2022) </w:t>
      </w:r>
      <w:r w:rsidR="00122F6D">
        <w:rPr>
          <w:b/>
        </w:rPr>
        <w:t>ARP</w:t>
      </w:r>
      <w:r w:rsidR="003770C6">
        <w:rPr>
          <w:b/>
        </w:rPr>
        <w:t xml:space="preserve">? </w:t>
      </w:r>
    </w:p>
    <w:p w14:paraId="6256DAD3" w14:textId="0486B57C" w:rsidR="007E53A1" w:rsidRPr="005F19CB" w:rsidRDefault="007E53A1" w:rsidP="00C827B4">
      <w:pPr>
        <w:spacing w:line="360" w:lineRule="auto"/>
        <w:ind w:left="720" w:hanging="720"/>
        <w:jc w:val="both"/>
      </w:pPr>
      <w:r w:rsidRPr="005F19CB">
        <w:t>A.</w:t>
      </w:r>
      <w:r w:rsidRPr="005F19CB">
        <w:tab/>
      </w:r>
      <w:r>
        <w:t>The Company</w:t>
      </w:r>
      <w:r w:rsidRPr="005F19CB">
        <w:t xml:space="preserve"> propose</w:t>
      </w:r>
      <w:r>
        <w:t>s</w:t>
      </w:r>
      <w:r w:rsidRPr="005F19CB">
        <w:t xml:space="preserve"> to continue with the existing </w:t>
      </w:r>
      <w:r>
        <w:t>ARP</w:t>
      </w:r>
      <w:r w:rsidR="00A75511" w:rsidRPr="00A75511">
        <w:t xml:space="preserve"> structure </w:t>
      </w:r>
      <w:r w:rsidR="00E06904">
        <w:t>which is outlined</w:t>
      </w:r>
      <w:r w:rsidR="006D330C">
        <w:t xml:space="preserve"> </w:t>
      </w:r>
      <w:r w:rsidRPr="005F19CB">
        <w:t xml:space="preserve">as follows: </w:t>
      </w:r>
    </w:p>
    <w:p w14:paraId="3915B7AE" w14:textId="7CC42D91" w:rsidR="003770C6" w:rsidRDefault="003770C6" w:rsidP="003770C6">
      <w:pPr>
        <w:pStyle w:val="BodyText"/>
        <w:numPr>
          <w:ilvl w:val="0"/>
          <w:numId w:val="3"/>
        </w:numPr>
        <w:spacing w:before="0" w:after="0" w:line="360" w:lineRule="auto"/>
      </w:pPr>
      <w:r w:rsidRPr="00F27A93">
        <w:t>Continuation of traditional base rate tariffs</w:t>
      </w:r>
      <w:r w:rsidRPr="005F19CB">
        <w:t xml:space="preserve"> through December 31, 20</w:t>
      </w:r>
      <w:r>
        <w:t>22</w:t>
      </w:r>
      <w:r w:rsidRPr="005F19CB">
        <w:t xml:space="preserve"> with </w:t>
      </w:r>
      <w:r>
        <w:t xml:space="preserve">adjustments necessary to collect the </w:t>
      </w:r>
      <w:r w:rsidR="00381047">
        <w:t>three-year</w:t>
      </w:r>
      <w:r>
        <w:t xml:space="preserve"> revenue requirements effective January 1, 2020.  The </w:t>
      </w:r>
      <w:r w:rsidR="004B3FEA">
        <w:t xml:space="preserve">tariff </w:t>
      </w:r>
      <w:r>
        <w:t>adjustments will reflect</w:t>
      </w:r>
      <w:r w:rsidRPr="005F19CB">
        <w:t xml:space="preserve"> currently</w:t>
      </w:r>
      <w:r>
        <w:t>-</w:t>
      </w:r>
      <w:r w:rsidRPr="005F19CB">
        <w:t xml:space="preserve">projected </w:t>
      </w:r>
      <w:r>
        <w:t>revenues, expenses,</w:t>
      </w:r>
      <w:r w:rsidRPr="005F19CB">
        <w:t xml:space="preserve"> rate base </w:t>
      </w:r>
      <w:r>
        <w:t xml:space="preserve">growth </w:t>
      </w:r>
      <w:r w:rsidRPr="005F19CB">
        <w:t xml:space="preserve">and </w:t>
      </w:r>
      <w:r>
        <w:t>cost of capital that includes a fair and reasonable ROE</w:t>
      </w:r>
      <w:r w:rsidRPr="005F19CB">
        <w:t>, based on a test year ending July 31, 20</w:t>
      </w:r>
      <w:r>
        <w:t>20,</w:t>
      </w:r>
      <w:r w:rsidRPr="005F19CB">
        <w:t xml:space="preserve"> with a modification for an appropriate levelization adjustment</w:t>
      </w:r>
      <w:r w:rsidRPr="00FA529F">
        <w:t xml:space="preserve"> for</w:t>
      </w:r>
      <w:r>
        <w:t xml:space="preserve"> all items except the CCR ARO</w:t>
      </w:r>
      <w:r w:rsidR="00CA6792">
        <w:t xml:space="preserve"> compliance costs</w:t>
      </w:r>
      <w:r>
        <w:t>.  The base rate tariffs will be adjusted</w:t>
      </w:r>
      <w:r w:rsidR="00880E70">
        <w:t xml:space="preserve"> further</w:t>
      </w:r>
      <w:r>
        <w:t xml:space="preserve"> on January 1, 2021 and on January 1, 2022 to reflect </w:t>
      </w:r>
      <w:r w:rsidR="00CA6792">
        <w:t>the increase in the revenue requirement for CCR ARO compliance costs</w:t>
      </w:r>
      <w:r>
        <w:t xml:space="preserve">, as described </w:t>
      </w:r>
      <w:r w:rsidR="00CE6AFD">
        <w:t xml:space="preserve">later </w:t>
      </w:r>
      <w:r>
        <w:t>in our testimony;</w:t>
      </w:r>
    </w:p>
    <w:p w14:paraId="11345EB0" w14:textId="77777777" w:rsidR="007E53A1" w:rsidRPr="005F19CB" w:rsidRDefault="007E53A1" w:rsidP="007E53A1">
      <w:pPr>
        <w:pStyle w:val="BodyText"/>
        <w:spacing w:before="0" w:after="0" w:line="360" w:lineRule="auto"/>
      </w:pPr>
    </w:p>
    <w:p w14:paraId="21213C90" w14:textId="77777777" w:rsidR="007E53A1" w:rsidRDefault="003D6795" w:rsidP="00623F66">
      <w:pPr>
        <w:pStyle w:val="BodyText"/>
        <w:numPr>
          <w:ilvl w:val="0"/>
          <w:numId w:val="3"/>
        </w:numPr>
        <w:spacing w:before="0" w:after="0" w:line="360" w:lineRule="auto"/>
      </w:pPr>
      <w:r w:rsidRPr="005F19CB">
        <w:t>Continuation of the ECCR tariff</w:t>
      </w:r>
      <w:r>
        <w:t xml:space="preserve"> through December 31, 2022</w:t>
      </w:r>
      <w:r w:rsidRPr="005F19CB">
        <w:t xml:space="preserve">, with revisions </w:t>
      </w:r>
      <w:r>
        <w:t xml:space="preserve">effective January 1, 2020 </w:t>
      </w:r>
      <w:r w:rsidRPr="005F19CB">
        <w:t xml:space="preserve">for currently projected </w:t>
      </w:r>
      <w:r>
        <w:t>revenues, expenses</w:t>
      </w:r>
      <w:r w:rsidRPr="005F19CB">
        <w:t xml:space="preserve">, rate base </w:t>
      </w:r>
      <w:r>
        <w:t xml:space="preserve">growth </w:t>
      </w:r>
      <w:r w:rsidRPr="005F19CB">
        <w:t xml:space="preserve">and </w:t>
      </w:r>
      <w:r>
        <w:t>cost of capital that includes a fair and reasonable ROE</w:t>
      </w:r>
      <w:r w:rsidRPr="005F19CB">
        <w:t xml:space="preserve"> based on a test year ending July 31, 20</w:t>
      </w:r>
      <w:r>
        <w:t>20,</w:t>
      </w:r>
      <w:r w:rsidRPr="005F19CB">
        <w:t xml:space="preserve"> </w:t>
      </w:r>
      <w:r>
        <w:t xml:space="preserve">with </w:t>
      </w:r>
      <w:r w:rsidRPr="005F19CB">
        <w:t>a modification for an appropriate</w:t>
      </w:r>
      <w:r w:rsidR="00B344A3">
        <w:t xml:space="preserve"> three-year</w:t>
      </w:r>
      <w:r w:rsidRPr="005F19CB">
        <w:t xml:space="preserve"> levelization adjustment</w:t>
      </w:r>
      <w:r w:rsidR="00922C5E">
        <w:t>;</w:t>
      </w:r>
    </w:p>
    <w:p w14:paraId="131D23C0" w14:textId="77777777" w:rsidR="007E53A1" w:rsidRPr="005F19CB" w:rsidRDefault="007E53A1" w:rsidP="007E53A1">
      <w:pPr>
        <w:pStyle w:val="BodyText"/>
        <w:spacing w:before="0" w:after="0" w:line="360" w:lineRule="auto"/>
        <w:ind w:firstLine="0"/>
      </w:pPr>
    </w:p>
    <w:p w14:paraId="45915330" w14:textId="6E0C4B0B" w:rsidR="00933C89" w:rsidRDefault="003D6795" w:rsidP="00933C89">
      <w:pPr>
        <w:pStyle w:val="BodyText"/>
        <w:numPr>
          <w:ilvl w:val="0"/>
          <w:numId w:val="3"/>
        </w:numPr>
        <w:spacing w:before="0" w:after="0" w:line="360" w:lineRule="auto"/>
      </w:pPr>
      <w:r>
        <w:t>Adjustment of</w:t>
      </w:r>
      <w:r w:rsidRPr="005F19CB">
        <w:t xml:space="preserve"> the DSM </w:t>
      </w:r>
      <w:r>
        <w:t xml:space="preserve">tariffs with revisions effective January 1, 2020 </w:t>
      </w:r>
      <w:r w:rsidR="003D4CF3">
        <w:t xml:space="preserve">to </w:t>
      </w:r>
      <w:r>
        <w:t>recover prior period under-recovered cost</w:t>
      </w:r>
      <w:r w:rsidR="00CD4DD4">
        <w:t>,</w:t>
      </w:r>
      <w:r>
        <w:t xml:space="preserve"> the cost of the </w:t>
      </w:r>
      <w:r w:rsidRPr="005F19CB">
        <w:t>programs</w:t>
      </w:r>
      <w:r w:rsidR="00CD4DD4">
        <w:t>,</w:t>
      </w:r>
      <w:r w:rsidR="00AE2F65">
        <w:t xml:space="preserve"> and Additional Sum</w:t>
      </w:r>
      <w:r w:rsidRPr="005F19CB">
        <w:t xml:space="preserve"> </w:t>
      </w:r>
      <w:r>
        <w:t>to be approved by the Commission in</w:t>
      </w:r>
      <w:r w:rsidRPr="005F19CB">
        <w:t xml:space="preserve"> </w:t>
      </w:r>
      <w:r w:rsidR="00973338">
        <w:t>the 2019 DSM Certification</w:t>
      </w:r>
      <w:r>
        <w:t xml:space="preserve"> with annual filings to update the DSM tariffs to be effective January 1, 2021 and 2022</w:t>
      </w:r>
      <w:r w:rsidRPr="005F19CB">
        <w:t>;</w:t>
      </w:r>
      <w:r w:rsidR="00933C89">
        <w:br w:type="page"/>
      </w:r>
    </w:p>
    <w:p w14:paraId="733129BB" w14:textId="77777777" w:rsidR="007E53A1" w:rsidRDefault="007B6A04" w:rsidP="00623F66">
      <w:pPr>
        <w:pStyle w:val="BodyText"/>
        <w:numPr>
          <w:ilvl w:val="0"/>
          <w:numId w:val="3"/>
        </w:numPr>
        <w:spacing w:before="0" w:after="0" w:line="360" w:lineRule="auto"/>
      </w:pPr>
      <w:r w:rsidRPr="007B6A04">
        <w:lastRenderedPageBreak/>
        <w:t xml:space="preserve">Adjustment of the MFF tariff with revisions effective January 1, 2020 to update the percentage of revenues inside municipalities with </w:t>
      </w:r>
      <w:r w:rsidR="00CE6AFD">
        <w:t xml:space="preserve">the </w:t>
      </w:r>
      <w:r w:rsidRPr="007B6A04">
        <w:t>option to file annual compliance filings to account for new incorporation of municipalities;</w:t>
      </w:r>
    </w:p>
    <w:p w14:paraId="401AEE35" w14:textId="77777777" w:rsidR="007E53A1" w:rsidRPr="005F19CB" w:rsidRDefault="007E53A1" w:rsidP="007E53A1">
      <w:pPr>
        <w:pStyle w:val="BodyText"/>
        <w:spacing w:before="0" w:after="0" w:line="360" w:lineRule="auto"/>
        <w:ind w:firstLine="0"/>
      </w:pPr>
    </w:p>
    <w:p w14:paraId="64314A15" w14:textId="77777777" w:rsidR="007E53A1" w:rsidRDefault="007E53A1" w:rsidP="00623F66">
      <w:pPr>
        <w:pStyle w:val="BodyText"/>
        <w:numPr>
          <w:ilvl w:val="0"/>
          <w:numId w:val="3"/>
        </w:numPr>
        <w:spacing w:before="0" w:after="0" w:line="360" w:lineRule="auto"/>
      </w:pPr>
      <w:r w:rsidRPr="005F19CB">
        <w:t xml:space="preserve">Continuation of </w:t>
      </w:r>
      <w:r w:rsidR="00CD1A3C">
        <w:t>the current</w:t>
      </w:r>
      <w:r w:rsidRPr="005F19CB">
        <w:t xml:space="preserve"> ROE range of 10.</w:t>
      </w:r>
      <w:r>
        <w:t>00</w:t>
      </w:r>
      <w:r w:rsidR="003E79F4">
        <w:t>%</w:t>
      </w:r>
      <w:r>
        <w:t xml:space="preserve"> </w:t>
      </w:r>
      <w:r w:rsidRPr="005F19CB">
        <w:t>to 12.</w:t>
      </w:r>
      <w:r>
        <w:t>00</w:t>
      </w:r>
      <w:r w:rsidR="003E79F4">
        <w:t>%</w:t>
      </w:r>
      <w:r w:rsidRPr="005F19CB">
        <w:t>;</w:t>
      </w:r>
    </w:p>
    <w:p w14:paraId="51F3F7DF" w14:textId="77777777" w:rsidR="007E53A1" w:rsidRPr="005F19CB" w:rsidRDefault="007E53A1" w:rsidP="007E53A1">
      <w:pPr>
        <w:pStyle w:val="BodyText"/>
        <w:spacing w:before="0" w:after="0" w:line="360" w:lineRule="auto"/>
        <w:ind w:firstLine="0"/>
      </w:pPr>
    </w:p>
    <w:p w14:paraId="1779039A" w14:textId="77777777" w:rsidR="007E53A1" w:rsidRDefault="007E53A1" w:rsidP="00623F66">
      <w:pPr>
        <w:pStyle w:val="BodyText"/>
        <w:numPr>
          <w:ilvl w:val="0"/>
          <w:numId w:val="3"/>
        </w:numPr>
        <w:spacing w:before="0" w:after="0" w:line="360" w:lineRule="auto"/>
      </w:pPr>
      <w:r w:rsidRPr="005F19CB">
        <w:t>Continuation of the Annual Surveillance Report</w:t>
      </w:r>
      <w:r>
        <w:t xml:space="preserve"> (“ASR”)</w:t>
      </w:r>
      <w:r w:rsidRPr="005F19CB">
        <w:t xml:space="preserve"> process with two-thirds of any earnings above the allowed ROE range </w:t>
      </w:r>
      <w:r>
        <w:t xml:space="preserve">dedicated to the benefit of </w:t>
      </w:r>
      <w:r w:rsidRPr="005F19CB">
        <w:t>customers and one-third retained by the Company</w:t>
      </w:r>
      <w:r w:rsidR="00A87F14">
        <w:t>; and</w:t>
      </w:r>
      <w:r>
        <w:t xml:space="preserve">  </w:t>
      </w:r>
    </w:p>
    <w:p w14:paraId="188BD967" w14:textId="77777777" w:rsidR="007E53A1" w:rsidRDefault="007E53A1" w:rsidP="007E53A1">
      <w:pPr>
        <w:pStyle w:val="ListParagraph"/>
      </w:pPr>
    </w:p>
    <w:p w14:paraId="48200F92" w14:textId="77777777" w:rsidR="007E53A1" w:rsidRDefault="007E53A1" w:rsidP="00623F66">
      <w:pPr>
        <w:pStyle w:val="BodyText"/>
        <w:numPr>
          <w:ilvl w:val="0"/>
          <w:numId w:val="3"/>
        </w:numPr>
        <w:spacing w:before="0" w:after="0" w:line="360" w:lineRule="auto"/>
      </w:pPr>
      <w:r>
        <w:t>Continuation of the option to file an Interim Cost Recovery (</w:t>
      </w:r>
      <w:r w:rsidR="004405D9">
        <w:t>“</w:t>
      </w:r>
      <w:r>
        <w:t>ICR</w:t>
      </w:r>
      <w:r w:rsidR="004405D9">
        <w:t>”</w:t>
      </w:r>
      <w:r>
        <w:t xml:space="preserve">) tariff in the event that earnings are projected to fall below the bottom of the range during any calendar year of the three-year term of the plan.  </w:t>
      </w:r>
      <w:r w:rsidR="00F7053C">
        <w:tab/>
      </w:r>
      <w:r w:rsidR="002B0749">
        <w:tab/>
      </w:r>
      <w:r w:rsidR="002B0749">
        <w:tab/>
      </w:r>
      <w:r w:rsidR="00F7053C">
        <w:tab/>
      </w:r>
      <w:r w:rsidR="00F7053C">
        <w:tab/>
      </w:r>
      <w:r w:rsidR="00F7053C">
        <w:tab/>
      </w:r>
      <w:r w:rsidR="00F7053C">
        <w:tab/>
      </w:r>
    </w:p>
    <w:p w14:paraId="1DE13672" w14:textId="683B008B" w:rsidR="007E53A1" w:rsidRDefault="007E53A1" w:rsidP="008D3537">
      <w:pPr>
        <w:pStyle w:val="BodyText"/>
        <w:spacing w:before="0" w:after="0" w:line="360" w:lineRule="auto"/>
        <w:ind w:left="720" w:firstLine="0"/>
      </w:pPr>
      <w:r w:rsidRPr="005F19CB">
        <w:t xml:space="preserve">The </w:t>
      </w:r>
      <w:r>
        <w:t>ARP</w:t>
      </w:r>
      <w:r w:rsidRPr="005F19CB">
        <w:t xml:space="preserve"> proposed by the Company in this case will retain </w:t>
      </w:r>
      <w:r w:rsidR="004B3FEA">
        <w:t xml:space="preserve">many of </w:t>
      </w:r>
      <w:r w:rsidRPr="005F19CB">
        <w:t>the</w:t>
      </w:r>
      <w:r w:rsidR="00C23928">
        <w:t xml:space="preserve"> </w:t>
      </w:r>
      <w:r w:rsidR="006D330C">
        <w:t xml:space="preserve">existing structural </w:t>
      </w:r>
      <w:r w:rsidRPr="005F19CB">
        <w:t>features</w:t>
      </w:r>
      <w:r w:rsidR="009F2F7B">
        <w:t>,</w:t>
      </w:r>
      <w:r w:rsidRPr="005F19CB">
        <w:t xml:space="preserve"> </w:t>
      </w:r>
      <w:r w:rsidR="003D4CF3">
        <w:t xml:space="preserve">such as </w:t>
      </w:r>
      <w:r w:rsidR="009F2F7B">
        <w:t xml:space="preserve">sharing </w:t>
      </w:r>
      <w:r w:rsidR="001346F9">
        <w:t xml:space="preserve">of earnings </w:t>
      </w:r>
      <w:r w:rsidR="009F2F7B">
        <w:t xml:space="preserve">above the </w:t>
      </w:r>
      <w:r w:rsidR="003D4CF3">
        <w:t xml:space="preserve">ROE </w:t>
      </w:r>
      <w:r w:rsidR="009F2F7B">
        <w:t xml:space="preserve">band, that were approved in the </w:t>
      </w:r>
      <w:r w:rsidRPr="005F19CB">
        <w:t>201</w:t>
      </w:r>
      <w:r>
        <w:t>3</w:t>
      </w:r>
      <w:r w:rsidRPr="005F19CB">
        <w:t xml:space="preserve"> Rate Case Order.</w:t>
      </w:r>
      <w:r>
        <w:t xml:space="preserve">  Importantly, </w:t>
      </w:r>
      <w:r w:rsidR="00880E70">
        <w:t>t</w:t>
      </w:r>
      <w:r>
        <w:t xml:space="preserve">his </w:t>
      </w:r>
      <w:r w:rsidR="00FD3377">
        <w:t>balanced approach</w:t>
      </w:r>
      <w:r>
        <w:t xml:space="preserve"> provides</w:t>
      </w:r>
      <w:r w:rsidRPr="005F19CB">
        <w:t xml:space="preserve"> stable rates for customers</w:t>
      </w:r>
      <w:r w:rsidR="00A16166">
        <w:t xml:space="preserve">, smaller increases over time for </w:t>
      </w:r>
      <w:r w:rsidR="00CD1A3C">
        <w:t xml:space="preserve">CCR ARO </w:t>
      </w:r>
      <w:r w:rsidR="00A16166">
        <w:t>compliance,</w:t>
      </w:r>
      <w:r>
        <w:t xml:space="preserve"> </w:t>
      </w:r>
      <w:r w:rsidR="00FD3377">
        <w:t>and</w:t>
      </w:r>
      <w:r>
        <w:t xml:space="preserve"> provides Georgia Power with timely </w:t>
      </w:r>
      <w:r w:rsidRPr="005F19CB">
        <w:t>recover</w:t>
      </w:r>
      <w:r>
        <w:t>y of</w:t>
      </w:r>
      <w:r w:rsidRPr="005F19CB">
        <w:t xml:space="preserve"> </w:t>
      </w:r>
      <w:r>
        <w:t xml:space="preserve">previously incurred or increasing </w:t>
      </w:r>
      <w:r w:rsidRPr="005F19CB">
        <w:t>costs</w:t>
      </w:r>
      <w:r w:rsidR="00D54117">
        <w:t xml:space="preserve"> </w:t>
      </w:r>
      <w:r w:rsidR="00D54117" w:rsidRPr="00FD3377">
        <w:t>to maintain strong credit metrics</w:t>
      </w:r>
      <w:r w:rsidRPr="00FD3377">
        <w:t>.</w:t>
      </w:r>
      <w:r w:rsidRPr="005F19CB">
        <w:t xml:space="preserve">  </w:t>
      </w:r>
    </w:p>
    <w:p w14:paraId="7031C615" w14:textId="77777777" w:rsidR="008D3537" w:rsidRDefault="008D3537" w:rsidP="008D3537">
      <w:pPr>
        <w:pStyle w:val="BodyText"/>
        <w:spacing w:before="0" w:after="0" w:line="360" w:lineRule="auto"/>
        <w:ind w:left="720" w:firstLine="0"/>
      </w:pPr>
    </w:p>
    <w:p w14:paraId="68EE61A1" w14:textId="77777777" w:rsidR="007E53A1" w:rsidRDefault="007E53A1" w:rsidP="007E53A1">
      <w:pPr>
        <w:spacing w:line="360" w:lineRule="auto"/>
        <w:ind w:left="720" w:hanging="720"/>
        <w:jc w:val="both"/>
        <w:rPr>
          <w:b/>
        </w:rPr>
      </w:pPr>
      <w:r w:rsidRPr="00B67662">
        <w:rPr>
          <w:b/>
        </w:rPr>
        <w:t>Q.</w:t>
      </w:r>
      <w:r w:rsidRPr="00B67662">
        <w:rPr>
          <w:b/>
        </w:rPr>
        <w:tab/>
        <w:t>PLEASE DESCRIBE THE ACCOUNTING FOR LEVELIZATION OF REVENUE REQUIREMENT</w:t>
      </w:r>
      <w:r>
        <w:rPr>
          <w:b/>
        </w:rPr>
        <w:t xml:space="preserve"> UNDER THE </w:t>
      </w:r>
      <w:r w:rsidR="0070788D">
        <w:rPr>
          <w:b/>
        </w:rPr>
        <w:t>PROPOSED THREE</w:t>
      </w:r>
      <w:r>
        <w:rPr>
          <w:b/>
        </w:rPr>
        <w:t xml:space="preserve">-YEAR </w:t>
      </w:r>
      <w:r w:rsidR="008C2ED8">
        <w:rPr>
          <w:b/>
        </w:rPr>
        <w:t>ARP</w:t>
      </w:r>
      <w:r w:rsidRPr="00B67662">
        <w:rPr>
          <w:b/>
        </w:rPr>
        <w:t>.</w:t>
      </w:r>
    </w:p>
    <w:p w14:paraId="1C245F57" w14:textId="436BE537" w:rsidR="00632285" w:rsidRDefault="007E53A1" w:rsidP="007E53A1">
      <w:pPr>
        <w:spacing w:line="360" w:lineRule="auto"/>
        <w:ind w:left="720" w:hanging="720"/>
        <w:jc w:val="both"/>
      </w:pPr>
      <w:r w:rsidRPr="00B67662">
        <w:t>A.</w:t>
      </w:r>
      <w:r w:rsidRPr="00B67662">
        <w:tab/>
      </w:r>
      <w:r w:rsidR="00093EDB" w:rsidRPr="00B67662">
        <w:t>As presented in Exhibit___(</w:t>
      </w:r>
      <w:r w:rsidR="00093EDB">
        <w:t>DPP/SPA/MBR</w:t>
      </w:r>
      <w:r w:rsidR="00093EDB" w:rsidRPr="00B67662">
        <w:t>-</w:t>
      </w:r>
      <w:r w:rsidR="00093EDB">
        <w:t>1</w:t>
      </w:r>
      <w:r w:rsidR="00093EDB" w:rsidRPr="00B67662">
        <w:t xml:space="preserve">, Schedule </w:t>
      </w:r>
      <w:r w:rsidR="005E6495">
        <w:t>2</w:t>
      </w:r>
      <w:r w:rsidR="00093EDB" w:rsidRPr="00B67662">
        <w:t>)</w:t>
      </w:r>
      <w:r w:rsidR="00093EDB">
        <w:t>, the Company’s projected revenue requirement</w:t>
      </w:r>
      <w:r w:rsidR="005E6495">
        <w:t xml:space="preserve"> for traditional base rate tariffs excluding CCR ARO compliance costs</w:t>
      </w:r>
      <w:r w:rsidR="00093EDB">
        <w:t xml:space="preserve"> in 2020 is lower</w:t>
      </w:r>
      <w:r w:rsidR="00C06AFF">
        <w:t xml:space="preserve"> and</w:t>
      </w:r>
      <w:r w:rsidR="00093EDB">
        <w:t xml:space="preserve"> the 2021 and 2022 </w:t>
      </w:r>
      <w:r w:rsidR="00093EDB" w:rsidRPr="00D65977">
        <w:t>revenue requirement</w:t>
      </w:r>
      <w:r w:rsidR="00093EDB">
        <w:t xml:space="preserve">s are </w:t>
      </w:r>
      <w:r w:rsidR="00093EDB" w:rsidRPr="00D65977">
        <w:t>higher than</w:t>
      </w:r>
      <w:r w:rsidR="00093EDB">
        <w:t xml:space="preserve"> the levelized revenue requirement over the three-year period</w:t>
      </w:r>
      <w:r w:rsidR="00093EDB" w:rsidRPr="00D65977">
        <w:t>.</w:t>
      </w:r>
      <w:r w:rsidR="00093EDB">
        <w:t xml:space="preserve">  </w:t>
      </w:r>
      <w:r w:rsidR="00093EDB" w:rsidRPr="00D65977">
        <w:t xml:space="preserve">Therefore, </w:t>
      </w:r>
      <w:r w:rsidR="00093EDB">
        <w:t xml:space="preserve">with </w:t>
      </w:r>
      <w:r w:rsidR="00093EDB" w:rsidRPr="00D65977">
        <w:t xml:space="preserve">base rates </w:t>
      </w:r>
      <w:r w:rsidR="00093EDB">
        <w:t>requested</w:t>
      </w:r>
      <w:r w:rsidR="00093EDB" w:rsidRPr="00D65977">
        <w:t xml:space="preserve"> under the levelized revenue requirement in this filing, the Company projects to over-collect in 2020 and under-collect in 2021 and 2022.</w:t>
      </w:r>
      <w:r w:rsidR="00093EDB">
        <w:t xml:space="preserve">  </w:t>
      </w:r>
      <w:r w:rsidR="00093EDB" w:rsidRPr="00D65977">
        <w:t xml:space="preserve">To </w:t>
      </w:r>
      <w:r w:rsidR="00093EDB">
        <w:t>balance</w:t>
      </w:r>
      <w:r w:rsidR="00093EDB" w:rsidRPr="00D65977">
        <w:t xml:space="preserve"> revenues associated with the revenue requirement for the corresponding years, the Company </w:t>
      </w:r>
      <w:r w:rsidR="00093EDB">
        <w:t>proposes to</w:t>
      </w:r>
      <w:r w:rsidR="00093EDB" w:rsidRPr="00D65977">
        <w:t xml:space="preserve"> defer the projected </w:t>
      </w:r>
      <w:r w:rsidR="00093EDB" w:rsidRPr="00D65977">
        <w:lastRenderedPageBreak/>
        <w:t xml:space="preserve">over-collection </w:t>
      </w:r>
      <w:r w:rsidR="00093EDB">
        <w:t>of $</w:t>
      </w:r>
      <w:r w:rsidR="00783A32">
        <w:t>2</w:t>
      </w:r>
      <w:r w:rsidR="00D2478B">
        <w:t>14</w:t>
      </w:r>
      <w:r w:rsidR="00783A32">
        <w:t xml:space="preserve"> </w:t>
      </w:r>
      <w:r w:rsidR="00093EDB">
        <w:t xml:space="preserve">million </w:t>
      </w:r>
      <w:r w:rsidR="00093EDB" w:rsidRPr="00D65977">
        <w:t xml:space="preserve">in 2020 to a regulatory liability account </w:t>
      </w:r>
      <w:r w:rsidR="00093EDB">
        <w:t xml:space="preserve">that will reduce rate base in 2021 and 2022 and be </w:t>
      </w:r>
      <w:r w:rsidR="00093EDB" w:rsidRPr="00D65977">
        <w:t xml:space="preserve">fully amortized </w:t>
      </w:r>
      <w:r w:rsidR="00093EDB">
        <w:t xml:space="preserve">at the end of </w:t>
      </w:r>
      <w:r w:rsidR="00093EDB" w:rsidRPr="00D65977">
        <w:t>2022.</w:t>
      </w:r>
      <w:r w:rsidR="00093EDB" w:rsidRPr="00B67662">
        <w:t xml:space="preserve">  </w:t>
      </w:r>
    </w:p>
    <w:p w14:paraId="3A6A5E21" w14:textId="77777777" w:rsidR="00783A32" w:rsidRDefault="00783A32" w:rsidP="007E53A1">
      <w:pPr>
        <w:spacing w:line="360" w:lineRule="auto"/>
        <w:ind w:left="720" w:hanging="720"/>
        <w:jc w:val="both"/>
      </w:pPr>
    </w:p>
    <w:p w14:paraId="1DA9E372" w14:textId="48AFF5DD" w:rsidR="00783A32" w:rsidRDefault="00783A32" w:rsidP="007E53A1">
      <w:pPr>
        <w:spacing w:line="360" w:lineRule="auto"/>
        <w:ind w:left="720" w:hanging="720"/>
        <w:jc w:val="both"/>
      </w:pPr>
      <w:r>
        <w:tab/>
        <w:t xml:space="preserve">For the ECCR tariff </w:t>
      </w:r>
      <w:r w:rsidRPr="00B67662">
        <w:t>presented in Exhibit___(</w:t>
      </w:r>
      <w:r>
        <w:t>DPP/SPA/MBR</w:t>
      </w:r>
      <w:r w:rsidRPr="00B67662">
        <w:t>-</w:t>
      </w:r>
      <w:r>
        <w:t>1</w:t>
      </w:r>
      <w:r w:rsidRPr="00B67662">
        <w:t xml:space="preserve">, Schedule </w:t>
      </w:r>
      <w:r w:rsidR="003D4CF3">
        <w:t>3</w:t>
      </w:r>
      <w:r>
        <w:t xml:space="preserve"> ECCR</w:t>
      </w:r>
      <w:r w:rsidRPr="00B67662">
        <w:t>)</w:t>
      </w:r>
      <w:r>
        <w:t xml:space="preserve">, the Company’s projected revenue requirements </w:t>
      </w:r>
      <w:r w:rsidR="00FD3B3A">
        <w:t xml:space="preserve">in </w:t>
      </w:r>
      <w:r>
        <w:t xml:space="preserve">2020 and 2021 </w:t>
      </w:r>
      <w:r w:rsidR="00FD3B3A">
        <w:t>are</w:t>
      </w:r>
      <w:r>
        <w:t xml:space="preserve"> higher, but the 2022 </w:t>
      </w:r>
      <w:r w:rsidRPr="00D65977">
        <w:t>revenue requirement</w:t>
      </w:r>
      <w:r>
        <w:t xml:space="preserve"> is low</w:t>
      </w:r>
      <w:r w:rsidRPr="00D65977">
        <w:t>er than</w:t>
      </w:r>
      <w:r>
        <w:t xml:space="preserve"> the levelized revenue requirement over the three-year period</w:t>
      </w:r>
      <w:r w:rsidRPr="00D65977">
        <w:t>.</w:t>
      </w:r>
      <w:r>
        <w:t xml:space="preserve">  </w:t>
      </w:r>
      <w:r w:rsidRPr="00D65977">
        <w:t xml:space="preserve">Therefore, the Company projects to </w:t>
      </w:r>
      <w:r>
        <w:t>under</w:t>
      </w:r>
      <w:r w:rsidRPr="00D65977">
        <w:t xml:space="preserve">-collect in 2020 and </w:t>
      </w:r>
      <w:r>
        <w:t>2021 and over</w:t>
      </w:r>
      <w:r w:rsidRPr="00D65977">
        <w:t>-collect in 2022.</w:t>
      </w:r>
      <w:r>
        <w:t xml:space="preserve">  </w:t>
      </w:r>
      <w:r w:rsidRPr="00D65977">
        <w:t xml:space="preserve">To </w:t>
      </w:r>
      <w:r>
        <w:t>balance</w:t>
      </w:r>
      <w:r w:rsidRPr="00D65977">
        <w:t xml:space="preserve"> revenues associated with the revenue requirement for the corresponding years, the Company </w:t>
      </w:r>
      <w:r>
        <w:t>proposes to</w:t>
      </w:r>
      <w:r w:rsidRPr="00D65977">
        <w:t xml:space="preserve"> defer the projected </w:t>
      </w:r>
      <w:r>
        <w:t>under</w:t>
      </w:r>
      <w:r w:rsidRPr="00D65977">
        <w:t xml:space="preserve">-collection </w:t>
      </w:r>
      <w:r>
        <w:t xml:space="preserve">of $21 million </w:t>
      </w:r>
      <w:r w:rsidRPr="00D65977">
        <w:t>in 2020</w:t>
      </w:r>
      <w:r>
        <w:t xml:space="preserve"> and 2021</w:t>
      </w:r>
      <w:r w:rsidRPr="00D65977">
        <w:t xml:space="preserve"> to a regulatory </w:t>
      </w:r>
      <w:r>
        <w:t>asset</w:t>
      </w:r>
      <w:r w:rsidRPr="00D65977">
        <w:t xml:space="preserve"> account </w:t>
      </w:r>
      <w:r>
        <w:t>that will increase rate base in 202</w:t>
      </w:r>
      <w:r w:rsidR="0041178E">
        <w:t>1</w:t>
      </w:r>
      <w:r>
        <w:t xml:space="preserve"> and 202</w:t>
      </w:r>
      <w:r w:rsidR="0041178E">
        <w:t>2</w:t>
      </w:r>
      <w:r>
        <w:t xml:space="preserve"> and be </w:t>
      </w:r>
      <w:r w:rsidRPr="00D65977">
        <w:t xml:space="preserve">fully amortized </w:t>
      </w:r>
      <w:r>
        <w:t xml:space="preserve">at the end of </w:t>
      </w:r>
      <w:r w:rsidRPr="00D65977">
        <w:t>2022.</w:t>
      </w:r>
      <w:r>
        <w:t xml:space="preserve"> </w:t>
      </w:r>
      <w:r w:rsidRPr="00B67662">
        <w:t xml:space="preserve">  </w:t>
      </w:r>
    </w:p>
    <w:p w14:paraId="19873C85" w14:textId="77777777" w:rsidR="00632285" w:rsidRDefault="00632285" w:rsidP="007E53A1">
      <w:pPr>
        <w:spacing w:line="360" w:lineRule="auto"/>
        <w:ind w:left="720" w:hanging="720"/>
        <w:jc w:val="both"/>
      </w:pPr>
    </w:p>
    <w:p w14:paraId="74298551" w14:textId="77777777" w:rsidR="00632285" w:rsidRDefault="00632285" w:rsidP="00632285">
      <w:pPr>
        <w:pStyle w:val="BodyText"/>
        <w:spacing w:before="0" w:after="0" w:line="360" w:lineRule="auto"/>
        <w:ind w:left="720" w:hanging="720"/>
        <w:rPr>
          <w:b/>
        </w:rPr>
      </w:pPr>
      <w:r w:rsidRPr="00632285">
        <w:rPr>
          <w:b/>
        </w:rPr>
        <w:t xml:space="preserve"> </w:t>
      </w:r>
      <w:r>
        <w:rPr>
          <w:b/>
        </w:rPr>
        <w:t>Q.</w:t>
      </w:r>
      <w:r>
        <w:rPr>
          <w:b/>
        </w:rPr>
        <w:tab/>
        <w:t xml:space="preserve">WHY IS </w:t>
      </w:r>
      <w:r w:rsidRPr="005F19CB">
        <w:rPr>
          <w:b/>
        </w:rPr>
        <w:t>THE COMPANY PROPOS</w:t>
      </w:r>
      <w:r>
        <w:rPr>
          <w:b/>
        </w:rPr>
        <w:t>ING TO RECOVER THE CCR ARO COMPLIANCE COSTS THROUGH</w:t>
      </w:r>
      <w:r w:rsidR="00B347C7">
        <w:rPr>
          <w:b/>
        </w:rPr>
        <w:t xml:space="preserve"> ANNUAL</w:t>
      </w:r>
      <w:r>
        <w:rPr>
          <w:b/>
        </w:rPr>
        <w:t xml:space="preserve"> STEP INCREASES?</w:t>
      </w:r>
    </w:p>
    <w:p w14:paraId="72FCD846" w14:textId="1219419E" w:rsidR="00933C89" w:rsidRDefault="00632285" w:rsidP="00933C89">
      <w:pPr>
        <w:pStyle w:val="BodyText"/>
        <w:spacing w:before="0" w:after="0" w:line="360" w:lineRule="auto"/>
        <w:ind w:left="720" w:hanging="720"/>
      </w:pPr>
      <w:r w:rsidRPr="00A602E6">
        <w:t>A.</w:t>
      </w:r>
      <w:r>
        <w:rPr>
          <w:b/>
        </w:rPr>
        <w:tab/>
      </w:r>
      <w:r w:rsidR="00BF1079">
        <w:t>Current t</w:t>
      </w:r>
      <w:r>
        <w:t>raditional base rates</w:t>
      </w:r>
      <w:r w:rsidR="00BF1079">
        <w:t xml:space="preserve"> include estimates for </w:t>
      </w:r>
      <w:r w:rsidR="00911D1A">
        <w:t xml:space="preserve">coal </w:t>
      </w:r>
      <w:r w:rsidR="00F42679">
        <w:t>ash pond</w:t>
      </w:r>
      <w:r w:rsidR="00911D1A">
        <w:t xml:space="preserve"> and certain landfill</w:t>
      </w:r>
      <w:r w:rsidR="00F42679">
        <w:t xml:space="preserve"> closure costs developed prior to the approval of </w:t>
      </w:r>
      <w:r w:rsidR="00F27A93">
        <w:t xml:space="preserve">both federal and state </w:t>
      </w:r>
      <w:r w:rsidR="00F42679">
        <w:t xml:space="preserve">CCR rules in </w:t>
      </w:r>
      <w:r w:rsidR="00F27A93">
        <w:t>2015 and 2016, respectively</w:t>
      </w:r>
      <w:r w:rsidR="00F42679">
        <w:t xml:space="preserve">.  Therefore, </w:t>
      </w:r>
      <w:r w:rsidR="00BF1079">
        <w:t>current rates</w:t>
      </w:r>
      <w:r>
        <w:t xml:space="preserve"> do not include </w:t>
      </w:r>
      <w:r w:rsidR="005A79FD">
        <w:t xml:space="preserve">the </w:t>
      </w:r>
      <w:r w:rsidR="00BF1079">
        <w:t xml:space="preserve">latest estimates for </w:t>
      </w:r>
      <w:r>
        <w:t xml:space="preserve">CCR ARO compliance costs </w:t>
      </w:r>
      <w:r w:rsidR="00BF1079">
        <w:t>as presented in the Company’s 2019 IRP</w:t>
      </w:r>
      <w:r w:rsidR="00F5312D">
        <w:t xml:space="preserve">.  </w:t>
      </w:r>
      <w:r w:rsidR="00CC176E">
        <w:t xml:space="preserve">To mitigate the immediate impact to customer bills, the Company proposes to recover these costs by adjusting rates on an annual basis beginning January 1, 2020.  </w:t>
      </w:r>
      <w:r w:rsidR="00BF1079">
        <w:t>T</w:t>
      </w:r>
      <w:r>
        <w:t xml:space="preserve">he Company understands the importance of balancing rate stability and minimizing the impact of the </w:t>
      </w:r>
      <w:r w:rsidR="009E070F">
        <w:t xml:space="preserve">necessary </w:t>
      </w:r>
      <w:r>
        <w:t xml:space="preserve">rate </w:t>
      </w:r>
      <w:r w:rsidR="00B347C7">
        <w:t>increases on</w:t>
      </w:r>
      <w:r>
        <w:t xml:space="preserve"> customers.  </w:t>
      </w:r>
      <w:r w:rsidR="009E070F">
        <w:t xml:space="preserve">We believe a gradual approach to increasing the recovery of </w:t>
      </w:r>
      <w:r>
        <w:t xml:space="preserve">CCR ARO compliance costs over time represents </w:t>
      </w:r>
      <w:r w:rsidR="00234A37">
        <w:t xml:space="preserve">a </w:t>
      </w:r>
      <w:r>
        <w:t xml:space="preserve">balance between the value of rate stability with a one-time </w:t>
      </w:r>
      <w:r w:rsidR="00B347C7">
        <w:t>levelized rate</w:t>
      </w:r>
      <w:r>
        <w:t xml:space="preserve"> adjustment and the importance of minimizing the amount of the initial rate adjustment customers will experience in 2020.</w:t>
      </w:r>
      <w:r w:rsidR="00CC176E">
        <w:t xml:space="preserve">  </w:t>
      </w:r>
      <w:r w:rsidR="001D7A5B">
        <w:t>We discuss our proposal for CCR ARO compliance cost recovery further in Section IV.</w:t>
      </w:r>
      <w:r w:rsidR="00933C89">
        <w:br w:type="page"/>
      </w:r>
    </w:p>
    <w:p w14:paraId="3932E61A" w14:textId="77777777" w:rsidR="007E53A1" w:rsidRPr="005F19CB" w:rsidRDefault="007E53A1" w:rsidP="007E53A1">
      <w:pPr>
        <w:spacing w:line="360" w:lineRule="auto"/>
        <w:ind w:left="720" w:hanging="720"/>
        <w:jc w:val="both"/>
        <w:rPr>
          <w:b/>
        </w:rPr>
      </w:pPr>
      <w:r w:rsidRPr="005F19CB">
        <w:rPr>
          <w:b/>
        </w:rPr>
        <w:lastRenderedPageBreak/>
        <w:t>Q.</w:t>
      </w:r>
      <w:r w:rsidRPr="005F19CB">
        <w:rPr>
          <w:b/>
        </w:rPr>
        <w:tab/>
      </w:r>
      <w:r w:rsidRPr="008615C5">
        <w:rPr>
          <w:b/>
        </w:rPr>
        <w:t xml:space="preserve">HOW WILL THE COMPANY’S </w:t>
      </w:r>
      <w:r w:rsidR="00B31004">
        <w:rPr>
          <w:b/>
        </w:rPr>
        <w:t xml:space="preserve">PROPOSED </w:t>
      </w:r>
      <w:r>
        <w:rPr>
          <w:b/>
        </w:rPr>
        <w:t>ARP</w:t>
      </w:r>
      <w:r w:rsidRPr="008615C5">
        <w:rPr>
          <w:b/>
        </w:rPr>
        <w:t xml:space="preserve"> BENEFIT CUSTOMERS?</w:t>
      </w:r>
    </w:p>
    <w:p w14:paraId="70B246D6" w14:textId="2141E774" w:rsidR="00244F27" w:rsidRDefault="007E53A1" w:rsidP="00C0635C">
      <w:pPr>
        <w:pStyle w:val="BodyText"/>
        <w:spacing w:before="0" w:after="0" w:line="360" w:lineRule="auto"/>
        <w:ind w:left="720" w:hanging="720"/>
      </w:pPr>
      <w:r w:rsidRPr="005F19CB">
        <w:t>A.</w:t>
      </w:r>
      <w:r w:rsidRPr="005F19CB">
        <w:tab/>
      </w:r>
      <w:r w:rsidR="00093EDB" w:rsidRPr="00EE387E">
        <w:t xml:space="preserve">The Company’s proposed </w:t>
      </w:r>
      <w:r w:rsidR="00093EDB">
        <w:t>ARP</w:t>
      </w:r>
      <w:r w:rsidR="00093EDB" w:rsidRPr="00EE387E">
        <w:t xml:space="preserve"> will produce several benefits for Georgia Power customers</w:t>
      </w:r>
      <w:r w:rsidR="00093EDB">
        <w:t xml:space="preserve">.  </w:t>
      </w:r>
      <w:r w:rsidR="00C0635C">
        <w:t>As experience has shown over the past 2</w:t>
      </w:r>
      <w:r w:rsidR="00592ADC">
        <w:t>3</w:t>
      </w:r>
      <w:r w:rsidR="00C0635C">
        <w:t xml:space="preserve"> years, </w:t>
      </w:r>
      <w:r w:rsidR="002E2933">
        <w:t>our ARPs</w:t>
      </w:r>
      <w:r w:rsidR="00C0635C">
        <w:t xml:space="preserve"> </w:t>
      </w:r>
      <w:r w:rsidR="002E2933">
        <w:t xml:space="preserve">have </w:t>
      </w:r>
      <w:r w:rsidR="00C0635C">
        <w:t>align</w:t>
      </w:r>
      <w:r w:rsidR="002E2933">
        <w:t>ed</w:t>
      </w:r>
      <w:r w:rsidR="00C0635C">
        <w:t xml:space="preserve"> customer interest</w:t>
      </w:r>
      <w:r w:rsidR="00D11CBD">
        <w:t>s</w:t>
      </w:r>
      <w:r w:rsidR="00C0635C">
        <w:t xml:space="preserve"> with shareholder interests in that both benefit </w:t>
      </w:r>
      <w:r w:rsidR="00D11CBD">
        <w:t xml:space="preserve">from </w:t>
      </w:r>
      <w:r w:rsidR="00C0635C">
        <w:t>the Company</w:t>
      </w:r>
      <w:r w:rsidR="00D11CBD">
        <w:t>’s</w:t>
      </w:r>
      <w:r w:rsidR="00C0635C">
        <w:t xml:space="preserve"> focus on providing </w:t>
      </w:r>
      <w:r w:rsidR="00217DA2">
        <w:t xml:space="preserve">clean, </w:t>
      </w:r>
      <w:r w:rsidR="00C0635C">
        <w:t>safe, reliable</w:t>
      </w:r>
      <w:r w:rsidR="006D2E82">
        <w:t>,</w:t>
      </w:r>
      <w:r w:rsidR="00C0635C">
        <w:t xml:space="preserve"> and affordable electricity</w:t>
      </w:r>
      <w:r w:rsidR="00B31004">
        <w:t xml:space="preserve"> and exceptional customer service</w:t>
      </w:r>
      <w:r w:rsidR="00C0635C">
        <w:t>.  In a</w:t>
      </w:r>
      <w:r w:rsidR="00B31004">
        <w:t>n environment</w:t>
      </w:r>
      <w:r w:rsidR="00C0635C">
        <w:t xml:space="preserve"> with frequent rate cases, utilities often have little incentive to</w:t>
      </w:r>
      <w:r w:rsidR="00B31004">
        <w:t xml:space="preserve"> manage and</w:t>
      </w:r>
      <w:r w:rsidR="00C0635C">
        <w:t xml:space="preserve"> reduce costs</w:t>
      </w:r>
      <w:r w:rsidR="00685072">
        <w:t>.</w:t>
      </w:r>
      <w:r w:rsidR="00C0635C">
        <w:t xml:space="preserve"> </w:t>
      </w:r>
      <w:r w:rsidR="00685072">
        <w:t xml:space="preserve"> </w:t>
      </w:r>
      <w:r w:rsidR="00C0635C">
        <w:t xml:space="preserve">Conversely, customers have no opportunity to share in earnings when </w:t>
      </w:r>
      <w:r w:rsidR="00B31004">
        <w:t xml:space="preserve">the </w:t>
      </w:r>
      <w:r w:rsidR="00C0635C">
        <w:t>util</w:t>
      </w:r>
      <w:r w:rsidR="00B31004">
        <w:t>ity</w:t>
      </w:r>
      <w:r w:rsidR="009E070F">
        <w:t xml:space="preserve"> delivers </w:t>
      </w:r>
      <w:r w:rsidR="00B31004">
        <w:t xml:space="preserve">better </w:t>
      </w:r>
      <w:r w:rsidR="00C0635C">
        <w:t xml:space="preserve">than expected </w:t>
      </w:r>
      <w:r w:rsidR="00244F27">
        <w:t>financial results</w:t>
      </w:r>
      <w:r w:rsidR="00C0635C">
        <w:t xml:space="preserve">.   </w:t>
      </w:r>
    </w:p>
    <w:p w14:paraId="02548651" w14:textId="77777777" w:rsidR="00244F27" w:rsidRDefault="00244F27" w:rsidP="00C0635C">
      <w:pPr>
        <w:pStyle w:val="BodyText"/>
        <w:spacing w:before="0" w:after="0" w:line="360" w:lineRule="auto"/>
        <w:ind w:left="720" w:hanging="720"/>
      </w:pPr>
    </w:p>
    <w:p w14:paraId="7FB18D97" w14:textId="24DB7DD1" w:rsidR="00C0635C" w:rsidRDefault="00C0635C" w:rsidP="00324825">
      <w:pPr>
        <w:pStyle w:val="BodyText"/>
        <w:spacing w:before="0" w:after="0" w:line="360" w:lineRule="auto"/>
        <w:ind w:left="720" w:firstLine="0"/>
      </w:pPr>
      <w:r>
        <w:t xml:space="preserve">Under </w:t>
      </w:r>
      <w:r w:rsidR="00495656">
        <w:t xml:space="preserve">the </w:t>
      </w:r>
      <w:r>
        <w:t>ARP</w:t>
      </w:r>
      <w:r w:rsidR="00244F27">
        <w:t>s</w:t>
      </w:r>
      <w:r w:rsidR="00495656">
        <w:t>,</w:t>
      </w:r>
      <w:r>
        <w:t xml:space="preserve"> like we have had in Georgia since 199</w:t>
      </w:r>
      <w:r w:rsidR="00833900">
        <w:t>5</w:t>
      </w:r>
      <w:r>
        <w:t>, customers have</w:t>
      </w:r>
      <w:r w:rsidR="00244F27">
        <w:t xml:space="preserve"> experienced</w:t>
      </w:r>
      <w:r>
        <w:t xml:space="preserve"> more rate stability </w:t>
      </w:r>
      <w:r w:rsidR="000A210C">
        <w:t xml:space="preserve">over each of </w:t>
      </w:r>
      <w:r w:rsidRPr="00EE387E">
        <w:t>the three-year period</w:t>
      </w:r>
      <w:r>
        <w:t>s</w:t>
      </w:r>
      <w:r w:rsidR="0062797B">
        <w:t xml:space="preserve">.  This allows </w:t>
      </w:r>
      <w:r w:rsidR="007566FD">
        <w:t>customers</w:t>
      </w:r>
      <w:r w:rsidR="0062797B">
        <w:t xml:space="preserve"> to </w:t>
      </w:r>
      <w:r w:rsidRPr="00EE387E">
        <w:t xml:space="preserve">better plan </w:t>
      </w:r>
      <w:r w:rsidR="0062797B">
        <w:t xml:space="preserve">their </w:t>
      </w:r>
      <w:r w:rsidRPr="00EE387E">
        <w:t>energy budgets.</w:t>
      </w:r>
      <w:r>
        <w:t xml:space="preserve">  </w:t>
      </w:r>
    </w:p>
    <w:p w14:paraId="5991D497" w14:textId="77777777" w:rsidR="00C0635C" w:rsidRDefault="00C0635C" w:rsidP="00C0635C">
      <w:pPr>
        <w:pStyle w:val="BodyText"/>
        <w:spacing w:before="0" w:after="0" w:line="360" w:lineRule="auto"/>
        <w:ind w:left="720" w:firstLine="0"/>
      </w:pPr>
    </w:p>
    <w:p w14:paraId="4A9583A4" w14:textId="3B9AFF82" w:rsidR="008D4DC5" w:rsidRDefault="008D4DC5" w:rsidP="008D4DC5">
      <w:pPr>
        <w:pStyle w:val="BodyText"/>
        <w:spacing w:before="0" w:after="0" w:line="360" w:lineRule="auto"/>
        <w:ind w:left="720" w:firstLine="0"/>
      </w:pPr>
      <w:r>
        <w:t>In addition</w:t>
      </w:r>
      <w:r w:rsidRPr="00EE387E">
        <w:t>,</w:t>
      </w:r>
      <w:r>
        <w:t xml:space="preserve"> </w:t>
      </w:r>
      <w:r w:rsidR="00324825">
        <w:t>customers and the Company both benefit from the fact that</w:t>
      </w:r>
      <w:r w:rsidR="00324825" w:rsidRPr="00EE387E">
        <w:t xml:space="preserve"> the </w:t>
      </w:r>
      <w:r w:rsidR="00324825">
        <w:t>ARP</w:t>
      </w:r>
      <w:r w:rsidR="00324825" w:rsidRPr="00EE387E">
        <w:t xml:space="preserve"> reduces regulatory lag</w:t>
      </w:r>
      <w:r w:rsidR="00324825">
        <w:t>.  It allows</w:t>
      </w:r>
      <w:r w:rsidR="00324825" w:rsidRPr="00EE387E">
        <w:t xml:space="preserve"> Georgia Power to recover prudently-incurred costs to serve customers on a </w:t>
      </w:r>
      <w:r w:rsidR="00324825">
        <w:t>more-</w:t>
      </w:r>
      <w:r w:rsidR="00324825" w:rsidRPr="00EE387E">
        <w:t>timely basis.  Recovering such costs on a timely basis is a cornerstone of a constructive regulatory framework and represents a qualitative attribute considered</w:t>
      </w:r>
      <w:r w:rsidR="00324825">
        <w:t xml:space="preserve"> favorably</w:t>
      </w:r>
      <w:r w:rsidR="00324825" w:rsidRPr="00EE387E">
        <w:t xml:space="preserve"> by credit rating agencies.  To that end, a constructive regulatory framework and continued ability to access capital markets at competitive rates on a timely basis ultimately translates to lower costs for Georgia Power customers.</w:t>
      </w:r>
      <w:r w:rsidR="00324825">
        <w:t xml:space="preserve">  Importantly, a</w:t>
      </w:r>
      <w:r w:rsidR="00324825" w:rsidRPr="00EE387E">
        <w:t>dequate capital market access is required for the Company’s overall financial stability, which allows it to maintain outstanding customer service</w:t>
      </w:r>
      <w:r w:rsidR="00324825">
        <w:t xml:space="preserve">—a </w:t>
      </w:r>
      <w:r w:rsidR="00324825" w:rsidRPr="00EE387E">
        <w:t xml:space="preserve">hallmark of Georgia Power.  </w:t>
      </w:r>
    </w:p>
    <w:p w14:paraId="64E7FBCC" w14:textId="77777777" w:rsidR="008D4DC5" w:rsidRDefault="008D4DC5" w:rsidP="00C0635C">
      <w:pPr>
        <w:pStyle w:val="BodyText"/>
        <w:spacing w:before="0" w:after="0" w:line="360" w:lineRule="auto"/>
        <w:ind w:left="720" w:firstLine="0"/>
      </w:pPr>
    </w:p>
    <w:p w14:paraId="32B3BD6B" w14:textId="69208902" w:rsidR="00324825" w:rsidRDefault="008D4DC5" w:rsidP="00C0635C">
      <w:pPr>
        <w:pStyle w:val="BodyText"/>
        <w:spacing w:before="0" w:after="0" w:line="360" w:lineRule="auto"/>
        <w:ind w:left="720" w:firstLine="0"/>
      </w:pPr>
      <w:r>
        <w:t xml:space="preserve">Finally, </w:t>
      </w:r>
      <w:r w:rsidR="00324825">
        <w:t>the</w:t>
      </w:r>
      <w:r w:rsidR="00324825" w:rsidRPr="00EE387E">
        <w:t xml:space="preserve"> </w:t>
      </w:r>
      <w:r w:rsidR="00324825">
        <w:t>continuation of the</w:t>
      </w:r>
      <w:r w:rsidR="00324825" w:rsidRPr="00EE387E">
        <w:t xml:space="preserve"> sharing mechanism benefit</w:t>
      </w:r>
      <w:r w:rsidR="00324825">
        <w:t>s</w:t>
      </w:r>
      <w:r w:rsidR="00324825" w:rsidRPr="00EE387E">
        <w:t xml:space="preserve"> Georgia Power customers.  If the Company performs better than expected, customers receive the majority</w:t>
      </w:r>
      <w:r w:rsidR="00324825">
        <w:t xml:space="preserve"> (two-thirds)</w:t>
      </w:r>
      <w:r w:rsidR="00324825" w:rsidRPr="00EE387E">
        <w:t xml:space="preserve"> of any earnings above the</w:t>
      </w:r>
      <w:r w:rsidR="00324825">
        <w:t xml:space="preserve"> </w:t>
      </w:r>
      <w:r w:rsidR="000A210C">
        <w:t xml:space="preserve">approved </w:t>
      </w:r>
      <w:r w:rsidR="00324825">
        <w:t>ROE</w:t>
      </w:r>
      <w:r w:rsidR="00324825" w:rsidRPr="00EE387E">
        <w:t xml:space="preserve"> </w:t>
      </w:r>
      <w:r w:rsidR="000A210C">
        <w:t>range</w:t>
      </w:r>
      <w:r w:rsidR="00324825" w:rsidRPr="00EE387E">
        <w:t xml:space="preserve"> under the</w:t>
      </w:r>
      <w:r w:rsidR="00324825">
        <w:t xml:space="preserve"> proposed</w:t>
      </w:r>
      <w:r w:rsidR="00324825" w:rsidRPr="00EE387E">
        <w:t xml:space="preserve"> </w:t>
      </w:r>
      <w:r w:rsidR="00324825">
        <w:t>ARP</w:t>
      </w:r>
      <w:r w:rsidR="00F5312D" w:rsidRPr="00EE387E">
        <w:t xml:space="preserve">.  </w:t>
      </w:r>
      <w:r w:rsidR="00324825" w:rsidRPr="00EE387E">
        <w:t xml:space="preserve">The Company’s proposal includes the same sharing mechanism previously approved by the Commission </w:t>
      </w:r>
      <w:r w:rsidR="00324825">
        <w:t>since the first ARP was approved in 1995</w:t>
      </w:r>
      <w:r w:rsidR="00324825" w:rsidRPr="00EE387E">
        <w:t xml:space="preserve">.  Absent the </w:t>
      </w:r>
      <w:r w:rsidR="00324825">
        <w:t>ARP</w:t>
      </w:r>
      <w:r w:rsidR="00324825" w:rsidRPr="00EE387E">
        <w:t xml:space="preserve">, </w:t>
      </w:r>
      <w:r w:rsidR="00324825">
        <w:t xml:space="preserve">no obligation would </w:t>
      </w:r>
      <w:r w:rsidR="000A210C">
        <w:t xml:space="preserve">exist requiring </w:t>
      </w:r>
      <w:r w:rsidR="00324825">
        <w:t xml:space="preserve">Georgia Power </w:t>
      </w:r>
      <w:r w:rsidR="00324825" w:rsidRPr="00EE387E">
        <w:t>share any earnings with customers.</w:t>
      </w:r>
      <w:r w:rsidR="00324825">
        <w:t xml:space="preserve">  </w:t>
      </w:r>
      <w:r w:rsidR="00324825" w:rsidRPr="00EE387E">
        <w:t xml:space="preserve">When sharing has occurred </w:t>
      </w:r>
      <w:r w:rsidR="00324825" w:rsidRPr="00EE387E">
        <w:lastRenderedPageBreak/>
        <w:t xml:space="preserve">through </w:t>
      </w:r>
      <w:r w:rsidR="00324825">
        <w:t>prior</w:t>
      </w:r>
      <w:r w:rsidR="00324825" w:rsidRPr="00EE387E">
        <w:t xml:space="preserve"> </w:t>
      </w:r>
      <w:r w:rsidR="00324825">
        <w:t>ARP</w:t>
      </w:r>
      <w:r w:rsidR="00324825" w:rsidRPr="00EE387E">
        <w:t>s, customers have received the benefits</w:t>
      </w:r>
      <w:r w:rsidR="00324825">
        <w:t xml:space="preserve"> through customer refunds or reduction in regulatory assets</w:t>
      </w:r>
      <w:r w:rsidR="00324825" w:rsidRPr="00EE387E">
        <w:t xml:space="preserve">. </w:t>
      </w:r>
      <w:bookmarkStart w:id="9" w:name="_Hlk12377057"/>
      <w:r w:rsidR="00324825" w:rsidRPr="00EE387E">
        <w:t xml:space="preserve"> </w:t>
      </w:r>
      <w:r w:rsidR="000A210C">
        <w:t xml:space="preserve">Since </w:t>
      </w:r>
      <w:r w:rsidR="00CD4DD4">
        <w:t>2013</w:t>
      </w:r>
      <w:r w:rsidR="000A210C">
        <w:t xml:space="preserve">, customers have </w:t>
      </w:r>
      <w:r w:rsidR="00CD4DD4">
        <w:t xml:space="preserve">benefited by </w:t>
      </w:r>
      <w:r w:rsidR="00E01138">
        <w:t xml:space="preserve">approximately </w:t>
      </w:r>
      <w:r w:rsidR="0062797B">
        <w:t>$</w:t>
      </w:r>
      <w:r w:rsidR="00CD4DD4">
        <w:t xml:space="preserve">160 </w:t>
      </w:r>
      <w:r w:rsidR="0062797B">
        <w:t xml:space="preserve">million </w:t>
      </w:r>
      <w:r w:rsidR="00CD4DD4">
        <w:t>f</w:t>
      </w:r>
      <w:r w:rsidR="000A210C">
        <w:t>rom this mechanism</w:t>
      </w:r>
      <w:r w:rsidR="00F5312D">
        <w:t xml:space="preserve">. </w:t>
      </w:r>
      <w:bookmarkEnd w:id="9"/>
      <w:r w:rsidR="00F5312D">
        <w:t xml:space="preserve"> </w:t>
      </w:r>
      <w:r w:rsidR="00324825">
        <w:t>The Company supports a continuation of this mechanism.</w:t>
      </w:r>
    </w:p>
    <w:p w14:paraId="34767276" w14:textId="77777777" w:rsidR="00324825" w:rsidRDefault="00324825" w:rsidP="00C0635C">
      <w:pPr>
        <w:pStyle w:val="BodyText"/>
        <w:spacing w:before="0" w:after="0" w:line="360" w:lineRule="auto"/>
        <w:ind w:left="720" w:firstLine="0"/>
      </w:pPr>
    </w:p>
    <w:p w14:paraId="3F11E25F" w14:textId="77777777" w:rsidR="007E53A1" w:rsidRPr="005F19CB" w:rsidRDefault="007E53A1" w:rsidP="00C0635C">
      <w:pPr>
        <w:pStyle w:val="BodyText"/>
        <w:spacing w:before="0" w:after="0" w:line="360" w:lineRule="auto"/>
        <w:ind w:left="720" w:hanging="720"/>
        <w:rPr>
          <w:b/>
        </w:rPr>
      </w:pPr>
      <w:r w:rsidRPr="005F19CB">
        <w:rPr>
          <w:b/>
        </w:rPr>
        <w:t>Q.</w:t>
      </w:r>
      <w:r w:rsidRPr="005F19CB">
        <w:rPr>
          <w:b/>
        </w:rPr>
        <w:tab/>
        <w:t>PLEASE DESCRIBE THE EXHIBITS SUPPORTING YOUR TESTIMONY.</w:t>
      </w:r>
    </w:p>
    <w:p w14:paraId="2C26379F" w14:textId="77777777" w:rsidR="007E53A1" w:rsidRPr="005F19CB" w:rsidRDefault="007E53A1" w:rsidP="00C23928">
      <w:pPr>
        <w:pStyle w:val="BodyText"/>
        <w:keepNext/>
        <w:spacing w:before="0" w:after="0" w:line="360" w:lineRule="auto"/>
        <w:ind w:left="720" w:hanging="720"/>
      </w:pPr>
      <w:r w:rsidRPr="005F19CB">
        <w:t>A.</w:t>
      </w:r>
      <w:r w:rsidRPr="005F19CB">
        <w:tab/>
        <w:t>The exhibits supporting our testimony are as follows:</w:t>
      </w:r>
    </w:p>
    <w:p w14:paraId="513091D2" w14:textId="075C28EF" w:rsidR="007E53A1" w:rsidRDefault="007E53A1" w:rsidP="00623F66">
      <w:pPr>
        <w:pStyle w:val="BodyText"/>
        <w:numPr>
          <w:ilvl w:val="0"/>
          <w:numId w:val="4"/>
        </w:numPr>
        <w:spacing w:before="0" w:after="0" w:line="360" w:lineRule="auto"/>
      </w:pPr>
      <w:r w:rsidRPr="005F19CB">
        <w:t>Exhibit___(</w:t>
      </w:r>
      <w:r>
        <w:t>DPP/SPA/MBR</w:t>
      </w:r>
      <w:r w:rsidRPr="005F19CB">
        <w:t>-1) consists of f</w:t>
      </w:r>
      <w:r w:rsidR="00524284">
        <w:t>ive</w:t>
      </w:r>
      <w:r w:rsidRPr="005F19CB">
        <w:t xml:space="preserve"> schedules demonstrating and supporting the calculation of the requested revenue requirements based on a test period ending July 31, 20</w:t>
      </w:r>
      <w:r>
        <w:t>20</w:t>
      </w:r>
      <w:r w:rsidRPr="005F19CB">
        <w:t>, as well as calendar years 20</w:t>
      </w:r>
      <w:r>
        <w:t>20</w:t>
      </w:r>
      <w:r w:rsidRPr="005F19CB">
        <w:t>, 20</w:t>
      </w:r>
      <w:r>
        <w:t>21,</w:t>
      </w:r>
      <w:r w:rsidRPr="005F19CB">
        <w:t xml:space="preserve"> and 20</w:t>
      </w:r>
      <w:r>
        <w:t>22</w:t>
      </w:r>
      <w:r w:rsidRPr="005F19CB">
        <w:t>.</w:t>
      </w:r>
      <w:r w:rsidR="00623F66">
        <w:br/>
      </w:r>
      <w:r w:rsidR="00623F66">
        <w:br/>
      </w:r>
      <w:r w:rsidRPr="005F19CB">
        <w:t>Schedule 1 contains the calculations of the requested revenue requirements for the twelve months end</w:t>
      </w:r>
      <w:r w:rsidR="000A210C">
        <w:t>ing</w:t>
      </w:r>
      <w:r w:rsidRPr="005F19CB">
        <w:t xml:space="preserve"> July 31, 20</w:t>
      </w:r>
      <w:r>
        <w:t>20</w:t>
      </w:r>
      <w:r w:rsidRPr="005F19CB">
        <w:t xml:space="preserve"> and calendar years 20</w:t>
      </w:r>
      <w:r>
        <w:t>20</w:t>
      </w:r>
      <w:r w:rsidRPr="005F19CB">
        <w:t>, 20</w:t>
      </w:r>
      <w:r>
        <w:t>2</w:t>
      </w:r>
      <w:r w:rsidRPr="005F19CB">
        <w:t>1</w:t>
      </w:r>
      <w:r>
        <w:t>,</w:t>
      </w:r>
      <w:r w:rsidRPr="005F19CB">
        <w:t xml:space="preserve"> and 20</w:t>
      </w:r>
      <w:r>
        <w:t>22</w:t>
      </w:r>
      <w:r w:rsidRPr="005F19CB">
        <w:t xml:space="preserve"> for the </w:t>
      </w:r>
      <w:r w:rsidR="00524284">
        <w:t>total Company excluding MFF, including projected retail rate base by components and calculation of retail operating income.</w:t>
      </w:r>
      <w:r w:rsidR="00524284" w:rsidRPr="005F19CB">
        <w:t xml:space="preserve">  </w:t>
      </w:r>
    </w:p>
    <w:p w14:paraId="4F5714EE" w14:textId="77777777" w:rsidR="007E53A1" w:rsidRPr="005F19CB" w:rsidRDefault="007E53A1" w:rsidP="007E53A1">
      <w:pPr>
        <w:pStyle w:val="BodyText"/>
        <w:spacing w:before="0" w:after="0" w:line="360" w:lineRule="auto"/>
      </w:pPr>
    </w:p>
    <w:p w14:paraId="5ACAE106" w14:textId="322F9B50" w:rsidR="00524284" w:rsidRDefault="00524284" w:rsidP="007E53A1">
      <w:pPr>
        <w:pStyle w:val="BodyText"/>
        <w:spacing w:before="0" w:after="0" w:line="360" w:lineRule="auto"/>
        <w:ind w:left="1440" w:firstLine="0"/>
      </w:pPr>
      <w:r w:rsidRPr="005F19CB">
        <w:t xml:space="preserve">Schedule </w:t>
      </w:r>
      <w:r>
        <w:t>2</w:t>
      </w:r>
      <w:r w:rsidRPr="005F19CB">
        <w:t xml:space="preserve"> contains the calculations of the requested revenue requirements for the twelve months end</w:t>
      </w:r>
      <w:r w:rsidR="000A210C">
        <w:t>ing</w:t>
      </w:r>
      <w:r w:rsidRPr="005F19CB">
        <w:t xml:space="preserve"> July 31, 20</w:t>
      </w:r>
      <w:r>
        <w:t>20</w:t>
      </w:r>
      <w:r w:rsidRPr="005F19CB">
        <w:t xml:space="preserve"> and calendar years 20</w:t>
      </w:r>
      <w:r>
        <w:t>20</w:t>
      </w:r>
      <w:r w:rsidRPr="005F19CB">
        <w:t>, 20</w:t>
      </w:r>
      <w:r>
        <w:t>2</w:t>
      </w:r>
      <w:r w:rsidRPr="005F19CB">
        <w:t>1</w:t>
      </w:r>
      <w:r>
        <w:t>,</w:t>
      </w:r>
      <w:r w:rsidRPr="005F19CB">
        <w:t xml:space="preserve"> and 20</w:t>
      </w:r>
      <w:r>
        <w:t>22</w:t>
      </w:r>
      <w:r w:rsidRPr="005F19CB">
        <w:t xml:space="preserve"> for the </w:t>
      </w:r>
      <w:r>
        <w:t>traditional base tariffs</w:t>
      </w:r>
      <w:r w:rsidR="00F5312D">
        <w:t xml:space="preserve">.  </w:t>
      </w:r>
      <w:r>
        <w:t>This schedule includes the calculation of the levelized revenue requirement excluding CCR ARO compliance costs as well as the annual step increases for those costs.</w:t>
      </w:r>
      <w:r w:rsidRPr="005F19CB">
        <w:t xml:space="preserve">  </w:t>
      </w:r>
    </w:p>
    <w:p w14:paraId="342798F8" w14:textId="77777777" w:rsidR="00524284" w:rsidRDefault="00524284" w:rsidP="007E53A1">
      <w:pPr>
        <w:pStyle w:val="BodyText"/>
        <w:spacing w:before="0" w:after="0" w:line="360" w:lineRule="auto"/>
        <w:ind w:left="1440" w:firstLine="0"/>
      </w:pPr>
    </w:p>
    <w:p w14:paraId="7C75B003" w14:textId="35365192" w:rsidR="00933C89" w:rsidRDefault="00524284" w:rsidP="00933C89">
      <w:pPr>
        <w:pStyle w:val="BodyText"/>
        <w:spacing w:before="0" w:after="0" w:line="360" w:lineRule="auto"/>
        <w:ind w:left="1440" w:firstLine="0"/>
      </w:pPr>
      <w:r w:rsidRPr="005F19CB">
        <w:t xml:space="preserve">Schedule </w:t>
      </w:r>
      <w:r>
        <w:t>3</w:t>
      </w:r>
      <w:r w:rsidRPr="005F19CB">
        <w:t xml:space="preserve"> shows the components and calculation of the </w:t>
      </w:r>
      <w:r>
        <w:t xml:space="preserve">requested </w:t>
      </w:r>
      <w:r w:rsidRPr="005F19CB">
        <w:t>revenue requirements related to the ECCR tariff.  This schedule covers the test period ending July 31, 20</w:t>
      </w:r>
      <w:r>
        <w:t>20</w:t>
      </w:r>
      <w:r w:rsidRPr="005F19CB">
        <w:t xml:space="preserve"> </w:t>
      </w:r>
      <w:r w:rsidR="00C159D7">
        <w:t xml:space="preserve">and </w:t>
      </w:r>
      <w:r w:rsidRPr="005F19CB">
        <w:t>calendar years 20</w:t>
      </w:r>
      <w:r>
        <w:t>20</w:t>
      </w:r>
      <w:r w:rsidRPr="005F19CB">
        <w:t>, 20</w:t>
      </w:r>
      <w:r>
        <w:t>2</w:t>
      </w:r>
      <w:r w:rsidRPr="005F19CB">
        <w:t>1</w:t>
      </w:r>
      <w:r>
        <w:t>,</w:t>
      </w:r>
      <w:r w:rsidRPr="005F19CB">
        <w:t xml:space="preserve"> and 20</w:t>
      </w:r>
      <w:r>
        <w:t>22</w:t>
      </w:r>
      <w:r w:rsidRPr="005F19CB">
        <w:t>.  This schedule also includes the calculation of the levelized revenue requirement necessary to provide stable rates over the three-year period.</w:t>
      </w:r>
      <w:r w:rsidR="00933C89">
        <w:br w:type="page"/>
      </w:r>
    </w:p>
    <w:p w14:paraId="49EE707B" w14:textId="4DBCF7BF" w:rsidR="007E53A1" w:rsidRDefault="007E53A1" w:rsidP="007E53A1">
      <w:pPr>
        <w:pStyle w:val="BodyText"/>
        <w:spacing w:before="0" w:after="0" w:line="360" w:lineRule="auto"/>
        <w:ind w:left="1440" w:firstLine="0"/>
      </w:pPr>
      <w:r w:rsidRPr="005F19CB">
        <w:lastRenderedPageBreak/>
        <w:t xml:space="preserve">Schedule </w:t>
      </w:r>
      <w:r w:rsidR="00524284">
        <w:t>4</w:t>
      </w:r>
      <w:r w:rsidR="00524284" w:rsidRPr="005F19CB">
        <w:t xml:space="preserve"> </w:t>
      </w:r>
      <w:r w:rsidRPr="005F19CB">
        <w:t xml:space="preserve">shows the components and calculation of the </w:t>
      </w:r>
      <w:r>
        <w:t xml:space="preserve">proposed </w:t>
      </w:r>
      <w:r w:rsidRPr="005F19CB">
        <w:t>revenue requirements related to the DSM tariff</w:t>
      </w:r>
      <w:r>
        <w:t>s</w:t>
      </w:r>
      <w:r w:rsidRPr="005F19CB">
        <w:t>.  This schedule covers the test period ending July 31, 20</w:t>
      </w:r>
      <w:r>
        <w:t>20</w:t>
      </w:r>
      <w:r w:rsidRPr="005F19CB">
        <w:t xml:space="preserve"> </w:t>
      </w:r>
      <w:r w:rsidR="00C159D7">
        <w:t xml:space="preserve">and </w:t>
      </w:r>
      <w:r w:rsidRPr="005F19CB">
        <w:t>calendar years 20</w:t>
      </w:r>
      <w:r>
        <w:t>20</w:t>
      </w:r>
      <w:r w:rsidRPr="005F19CB">
        <w:t>, 20</w:t>
      </w:r>
      <w:r>
        <w:t>2</w:t>
      </w:r>
      <w:r w:rsidRPr="005F19CB">
        <w:t>1</w:t>
      </w:r>
      <w:r>
        <w:t>,</w:t>
      </w:r>
      <w:r w:rsidRPr="005F19CB">
        <w:t xml:space="preserve"> and 20</w:t>
      </w:r>
      <w:r>
        <w:t>22</w:t>
      </w:r>
      <w:r w:rsidRPr="005F19CB">
        <w:t xml:space="preserve">.  </w:t>
      </w:r>
    </w:p>
    <w:p w14:paraId="5B5DEF3B" w14:textId="77777777" w:rsidR="007E53A1" w:rsidRPr="005F19CB" w:rsidRDefault="007E53A1" w:rsidP="007E53A1">
      <w:pPr>
        <w:pStyle w:val="BodyText"/>
        <w:spacing w:before="0" w:after="0" w:line="360" w:lineRule="auto"/>
        <w:ind w:left="1440" w:firstLine="0"/>
      </w:pPr>
    </w:p>
    <w:p w14:paraId="3DAF8E63" w14:textId="77777777" w:rsidR="007E53A1" w:rsidRDefault="007E53A1" w:rsidP="007E53A1">
      <w:pPr>
        <w:pStyle w:val="BodyText"/>
        <w:spacing w:before="0" w:after="0" w:line="360" w:lineRule="auto"/>
        <w:ind w:left="1440" w:firstLine="0"/>
      </w:pPr>
      <w:r w:rsidRPr="005F19CB">
        <w:t xml:space="preserve">Schedule </w:t>
      </w:r>
      <w:r w:rsidR="00524284">
        <w:t xml:space="preserve">5 </w:t>
      </w:r>
      <w:r w:rsidRPr="005F19CB">
        <w:t xml:space="preserve">provides the calculation and the revenue requirement impact of the MFF tariff associated with </w:t>
      </w:r>
      <w:r>
        <w:t>each of</w:t>
      </w:r>
      <w:r w:rsidRPr="005F19CB">
        <w:t xml:space="preserve"> the base tariffs</w:t>
      </w:r>
      <w:r>
        <w:t xml:space="preserve"> for the test </w:t>
      </w:r>
      <w:r w:rsidRPr="005F19CB">
        <w:t>period ending July 31, 20</w:t>
      </w:r>
      <w:r>
        <w:t>20</w:t>
      </w:r>
      <w:r w:rsidRPr="005F19CB">
        <w:t xml:space="preserve"> as well as the calendar years 20</w:t>
      </w:r>
      <w:r>
        <w:t>20</w:t>
      </w:r>
      <w:r w:rsidRPr="005F19CB">
        <w:t>, 20</w:t>
      </w:r>
      <w:r>
        <w:t>2</w:t>
      </w:r>
      <w:r w:rsidRPr="005F19CB">
        <w:t>1</w:t>
      </w:r>
      <w:r>
        <w:t>,</w:t>
      </w:r>
      <w:r w:rsidRPr="005F19CB">
        <w:t xml:space="preserve"> and 20</w:t>
      </w:r>
      <w:r>
        <w:t>22</w:t>
      </w:r>
      <w:r w:rsidRPr="005F19CB">
        <w:t>.</w:t>
      </w:r>
    </w:p>
    <w:p w14:paraId="12F651A5" w14:textId="77777777" w:rsidR="007E53A1" w:rsidRDefault="007E53A1" w:rsidP="007E53A1">
      <w:pPr>
        <w:pStyle w:val="BodyText"/>
        <w:spacing w:before="0" w:after="0" w:line="360" w:lineRule="auto"/>
        <w:ind w:left="1440" w:firstLine="0"/>
      </w:pPr>
    </w:p>
    <w:p w14:paraId="0EA6ED14" w14:textId="0E16DE3C" w:rsidR="007E53A1" w:rsidRDefault="007E53A1" w:rsidP="00623F66">
      <w:pPr>
        <w:pStyle w:val="BodyText"/>
        <w:numPr>
          <w:ilvl w:val="0"/>
          <w:numId w:val="4"/>
        </w:numPr>
        <w:spacing w:before="0" w:after="0" w:line="360" w:lineRule="auto"/>
      </w:pPr>
      <w:r w:rsidRPr="005F19CB">
        <w:t>Exhibit___(</w:t>
      </w:r>
      <w:r>
        <w:t>DPP/SPA/MBR</w:t>
      </w:r>
      <w:r w:rsidRPr="005F19CB">
        <w:t xml:space="preserve">-2) is the Summary of Projections.  This exhibit demonstrates the changes in revenues, expenses and rate base from the historic period, after </w:t>
      </w:r>
      <w:r>
        <w:t xml:space="preserve">regulatory </w:t>
      </w:r>
      <w:r w:rsidRPr="005F19CB">
        <w:t>adjustments as approved by the Commission in Docket No. 3</w:t>
      </w:r>
      <w:r>
        <w:t>6989</w:t>
      </w:r>
      <w:r w:rsidRPr="005F19CB">
        <w:t>,</w:t>
      </w:r>
      <w:r w:rsidR="00C159D7">
        <w:t xml:space="preserve"> and previous rate cases,</w:t>
      </w:r>
      <w:r w:rsidRPr="005F19CB">
        <w:t xml:space="preserve"> for the year ended December 31, 201</w:t>
      </w:r>
      <w:r>
        <w:t>8</w:t>
      </w:r>
      <w:r w:rsidRPr="005F19CB">
        <w:t>, to the test period ending July 31, 20</w:t>
      </w:r>
      <w:r>
        <w:t>20</w:t>
      </w:r>
      <w:r w:rsidRPr="005F19CB">
        <w:t>.  The exhibit also displays the adjusted retail cost of service amounts and balances for the test period ending July 31, 20</w:t>
      </w:r>
      <w:r>
        <w:t>20,</w:t>
      </w:r>
      <w:r w:rsidRPr="005F19CB">
        <w:t xml:space="preserve"> taking into account previously approved and proposed </w:t>
      </w:r>
      <w:r>
        <w:t xml:space="preserve">regulatory </w:t>
      </w:r>
      <w:r w:rsidRPr="005F19CB">
        <w:t xml:space="preserve">adjustments.  </w:t>
      </w:r>
      <w:r>
        <w:t>T</w:t>
      </w:r>
      <w:r w:rsidRPr="005F19CB">
        <w:t xml:space="preserve">he exhibit </w:t>
      </w:r>
      <w:r>
        <w:t>provides</w:t>
      </w:r>
      <w:r w:rsidRPr="005F19CB">
        <w:t xml:space="preserve"> explanations for the </w:t>
      </w:r>
      <w:r>
        <w:t xml:space="preserve">corresponding </w:t>
      </w:r>
      <w:r w:rsidRPr="005F19CB">
        <w:t>changes between periods</w:t>
      </w:r>
      <w:r>
        <w:t>,</w:t>
      </w:r>
      <w:r w:rsidRPr="005F19CB">
        <w:t xml:space="preserve"> as well as the regulatory adjustments within each period.</w:t>
      </w:r>
    </w:p>
    <w:p w14:paraId="34E1CC57" w14:textId="77777777" w:rsidR="007E53A1" w:rsidRPr="005F19CB" w:rsidRDefault="007E53A1" w:rsidP="007E53A1">
      <w:pPr>
        <w:pStyle w:val="BodyText"/>
        <w:spacing w:before="0" w:after="0" w:line="360" w:lineRule="auto"/>
        <w:ind w:left="1440" w:firstLine="0"/>
      </w:pPr>
    </w:p>
    <w:p w14:paraId="556908A9" w14:textId="200DD803" w:rsidR="007E53A1" w:rsidRPr="00F30950" w:rsidRDefault="007E53A1" w:rsidP="00623F66">
      <w:pPr>
        <w:pStyle w:val="BodyText"/>
        <w:numPr>
          <w:ilvl w:val="0"/>
          <w:numId w:val="4"/>
        </w:numPr>
        <w:spacing w:before="0" w:after="0" w:line="360" w:lineRule="auto"/>
        <w:rPr>
          <w:b/>
          <w:u w:val="single"/>
        </w:rPr>
      </w:pPr>
      <w:r w:rsidRPr="005F19CB">
        <w:t>Exhibit</w:t>
      </w:r>
      <w:r w:rsidR="00CF6243">
        <w:t>___</w:t>
      </w:r>
      <w:r w:rsidRPr="005F19CB">
        <w:t>(</w:t>
      </w:r>
      <w:r>
        <w:t>DPP/SPA/MBR</w:t>
      </w:r>
      <w:r w:rsidRPr="005F19CB">
        <w:t xml:space="preserve">-3) displays the details and the calculation of the </w:t>
      </w:r>
      <w:r w:rsidRPr="004B350E">
        <w:t>7.93</w:t>
      </w:r>
      <w:r w:rsidR="003E79F4">
        <w:t xml:space="preserve">% </w:t>
      </w:r>
      <w:r w:rsidRPr="005F19CB">
        <w:t>weighted average cost of capital ending July 31, 20</w:t>
      </w:r>
      <w:r>
        <w:t>20</w:t>
      </w:r>
      <w:r w:rsidRPr="005F19CB">
        <w:t xml:space="preserve">, including </w:t>
      </w:r>
      <w:r>
        <w:t xml:space="preserve">the Company’s projected capital structure and cost of debt, proposed cost of equity as supported by Dr. Vander Weide in his testimony, and </w:t>
      </w:r>
      <w:r w:rsidRPr="005F19CB">
        <w:t>a reconciliation of the budgeted balances to the adjusted balances used in calculating the retail revenue requirements</w:t>
      </w:r>
      <w:r w:rsidR="00F5312D" w:rsidRPr="005F19CB">
        <w:t xml:space="preserve">.  </w:t>
      </w:r>
      <w:r w:rsidRPr="005F19CB">
        <w:t>In addition, we have included the components and calculations of the 13-month weighted average cost of capital for the calendar years ending 20</w:t>
      </w:r>
      <w:r>
        <w:t>20</w:t>
      </w:r>
      <w:r w:rsidRPr="005F19CB">
        <w:t>, 20</w:t>
      </w:r>
      <w:r>
        <w:t>2</w:t>
      </w:r>
      <w:r w:rsidRPr="005F19CB">
        <w:t>1</w:t>
      </w:r>
      <w:r>
        <w:t>,</w:t>
      </w:r>
      <w:r w:rsidRPr="005F19CB">
        <w:t xml:space="preserve"> and 20</w:t>
      </w:r>
      <w:r>
        <w:t>22</w:t>
      </w:r>
      <w:r w:rsidRPr="005F19CB">
        <w:t xml:space="preserve">. </w:t>
      </w:r>
    </w:p>
    <w:p w14:paraId="397E1A2E" w14:textId="77777777" w:rsidR="007E53A1" w:rsidRPr="005F19CB" w:rsidRDefault="007E53A1" w:rsidP="007E53A1">
      <w:pPr>
        <w:pStyle w:val="BodyText"/>
        <w:spacing w:before="0" w:after="0" w:line="360" w:lineRule="auto"/>
        <w:ind w:firstLine="0"/>
        <w:rPr>
          <w:b/>
          <w:u w:val="single"/>
        </w:rPr>
      </w:pPr>
    </w:p>
    <w:p w14:paraId="35BF27EF" w14:textId="0C47B85D" w:rsidR="00C970E8" w:rsidRDefault="007E53A1" w:rsidP="00623F66">
      <w:pPr>
        <w:pStyle w:val="BodyText"/>
        <w:numPr>
          <w:ilvl w:val="0"/>
          <w:numId w:val="4"/>
        </w:numPr>
        <w:spacing w:before="0" w:after="0" w:line="360" w:lineRule="auto"/>
        <w:rPr>
          <w:b/>
          <w:u w:val="single"/>
        </w:rPr>
      </w:pPr>
      <w:r w:rsidRPr="005F19CB">
        <w:t>Exhibit</w:t>
      </w:r>
      <w:r w:rsidR="00CF6243">
        <w:t>___</w:t>
      </w:r>
      <w:r w:rsidRPr="005F19CB">
        <w:t>(</w:t>
      </w:r>
      <w:r>
        <w:t>DPP/SPA/MBR</w:t>
      </w:r>
      <w:r w:rsidRPr="005F19CB">
        <w:t xml:space="preserve">-4) contains </w:t>
      </w:r>
      <w:r>
        <w:t xml:space="preserve">various </w:t>
      </w:r>
      <w:r w:rsidRPr="005F19CB">
        <w:t xml:space="preserve">schedules that </w:t>
      </w:r>
      <w:r>
        <w:t xml:space="preserve">provide detailed </w:t>
      </w:r>
      <w:r w:rsidRPr="005F19CB">
        <w:t>support</w:t>
      </w:r>
      <w:r>
        <w:t xml:space="preserve"> for</w:t>
      </w:r>
      <w:r w:rsidRPr="005F19CB">
        <w:t xml:space="preserve"> amounts included in </w:t>
      </w:r>
      <w:r>
        <w:t xml:space="preserve">projected retail </w:t>
      </w:r>
      <w:r w:rsidRPr="005F19CB">
        <w:t>rate base</w:t>
      </w:r>
      <w:r>
        <w:t xml:space="preserve"> included in the Company’s revenue requirement for the test period</w:t>
      </w:r>
      <w:r w:rsidRPr="005F19CB">
        <w:t xml:space="preserve">. </w:t>
      </w:r>
    </w:p>
    <w:p w14:paraId="205B3328" w14:textId="69BD74E4" w:rsidR="00524284" w:rsidRPr="00DC1AFD" w:rsidRDefault="00524284" w:rsidP="00890774">
      <w:pPr>
        <w:pStyle w:val="BodyText"/>
        <w:numPr>
          <w:ilvl w:val="0"/>
          <w:numId w:val="4"/>
        </w:numPr>
        <w:spacing w:before="0" w:after="0" w:line="360" w:lineRule="auto"/>
        <w:rPr>
          <w:b/>
          <w:u w:val="single"/>
        </w:rPr>
      </w:pPr>
      <w:r w:rsidRPr="005F19CB">
        <w:lastRenderedPageBreak/>
        <w:t>Exhibit</w:t>
      </w:r>
      <w:r w:rsidR="00CF6243">
        <w:t>___</w:t>
      </w:r>
      <w:r w:rsidRPr="005F19CB">
        <w:t>(</w:t>
      </w:r>
      <w:r>
        <w:t>DPP/SPA/MBR</w:t>
      </w:r>
      <w:r w:rsidRPr="005F19CB">
        <w:t>-</w:t>
      </w:r>
      <w:r>
        <w:t>5</w:t>
      </w:r>
      <w:r w:rsidRPr="005F19CB">
        <w:t xml:space="preserve">) contains </w:t>
      </w:r>
      <w:r>
        <w:t xml:space="preserve">various </w:t>
      </w:r>
      <w:r w:rsidRPr="005F19CB">
        <w:t xml:space="preserve">schedules that </w:t>
      </w:r>
      <w:r>
        <w:t xml:space="preserve">provide detailed </w:t>
      </w:r>
      <w:r w:rsidRPr="005F19CB">
        <w:t>support</w:t>
      </w:r>
      <w:r>
        <w:t xml:space="preserve"> for</w:t>
      </w:r>
      <w:r w:rsidRPr="005F19CB">
        <w:t xml:space="preserve"> amounts included in </w:t>
      </w:r>
      <w:r>
        <w:t xml:space="preserve">projected retail </w:t>
      </w:r>
      <w:r w:rsidRPr="005F19CB">
        <w:t>expenses</w:t>
      </w:r>
      <w:r>
        <w:t xml:space="preserve"> included in the Company’s revenue requirement for the test period</w:t>
      </w:r>
      <w:r w:rsidRPr="005F19CB">
        <w:t xml:space="preserve">. </w:t>
      </w:r>
    </w:p>
    <w:p w14:paraId="65C64F09" w14:textId="77777777" w:rsidR="00524284" w:rsidRPr="00DB2B79" w:rsidRDefault="00524284" w:rsidP="00890774">
      <w:pPr>
        <w:pStyle w:val="BodyText"/>
        <w:spacing w:before="0" w:after="0" w:line="360" w:lineRule="auto"/>
        <w:ind w:firstLine="0"/>
        <w:rPr>
          <w:b/>
          <w:u w:val="single"/>
        </w:rPr>
      </w:pPr>
    </w:p>
    <w:p w14:paraId="03D2F8E2" w14:textId="53213507" w:rsidR="00524284" w:rsidRDefault="00524284" w:rsidP="00890774">
      <w:pPr>
        <w:pStyle w:val="BodyText"/>
        <w:numPr>
          <w:ilvl w:val="0"/>
          <w:numId w:val="4"/>
        </w:numPr>
        <w:spacing w:before="0" w:after="0" w:line="360" w:lineRule="auto"/>
        <w:rPr>
          <w:b/>
          <w:u w:val="single"/>
        </w:rPr>
      </w:pPr>
      <w:r w:rsidRPr="005F19CB">
        <w:t>Exhibit</w:t>
      </w:r>
      <w:r w:rsidR="00CF6243">
        <w:t>___</w:t>
      </w:r>
      <w:r w:rsidRPr="005F19CB">
        <w:t>(</w:t>
      </w:r>
      <w:r>
        <w:t>DPP/SPA/MBR</w:t>
      </w:r>
      <w:r w:rsidRPr="005F19CB">
        <w:t>-</w:t>
      </w:r>
      <w:r>
        <w:t>6</w:t>
      </w:r>
      <w:r w:rsidRPr="005F19CB">
        <w:t xml:space="preserve">) contains </w:t>
      </w:r>
      <w:r>
        <w:t xml:space="preserve">various </w:t>
      </w:r>
      <w:r w:rsidRPr="005F19CB">
        <w:t xml:space="preserve">schedules that </w:t>
      </w:r>
      <w:r>
        <w:t xml:space="preserve">provide detailed </w:t>
      </w:r>
      <w:r w:rsidRPr="005F19CB">
        <w:t>support</w:t>
      </w:r>
      <w:r>
        <w:t xml:space="preserve"> for</w:t>
      </w:r>
      <w:r w:rsidRPr="005F19CB">
        <w:t xml:space="preserve"> amounts </w:t>
      </w:r>
      <w:r>
        <w:t>ex</w:t>
      </w:r>
      <w:r w:rsidRPr="005F19CB">
        <w:t xml:space="preserve">cluded </w:t>
      </w:r>
      <w:r>
        <w:t>from</w:t>
      </w:r>
      <w:r w:rsidRPr="005F19CB">
        <w:t xml:space="preserve"> </w:t>
      </w:r>
      <w:r>
        <w:t xml:space="preserve">projected retail </w:t>
      </w:r>
      <w:r w:rsidRPr="005F19CB">
        <w:t>rate base</w:t>
      </w:r>
      <w:r>
        <w:t xml:space="preserve"> and</w:t>
      </w:r>
      <w:r w:rsidRPr="005F19CB">
        <w:t xml:space="preserve"> expenses</w:t>
      </w:r>
      <w:r>
        <w:t xml:space="preserve"> in the Company’s revenue requirement for the test period</w:t>
      </w:r>
      <w:r w:rsidRPr="005F19CB">
        <w:t xml:space="preserve">. </w:t>
      </w:r>
    </w:p>
    <w:p w14:paraId="4FA2A169" w14:textId="77777777" w:rsidR="00524284" w:rsidRDefault="00524284" w:rsidP="00890774">
      <w:pPr>
        <w:spacing w:line="360" w:lineRule="auto"/>
      </w:pPr>
    </w:p>
    <w:p w14:paraId="2D171289" w14:textId="6FAF0CD2" w:rsidR="00AD3F28" w:rsidRPr="00AD3F28" w:rsidRDefault="007E53A1" w:rsidP="00890774">
      <w:pPr>
        <w:pStyle w:val="BodyText"/>
        <w:numPr>
          <w:ilvl w:val="0"/>
          <w:numId w:val="4"/>
        </w:numPr>
        <w:spacing w:before="0" w:after="0" w:line="360" w:lineRule="auto"/>
        <w:rPr>
          <w:b/>
          <w:u w:val="single"/>
        </w:rPr>
      </w:pPr>
      <w:r w:rsidRPr="0060206C">
        <w:t>Exhibit</w:t>
      </w:r>
      <w:r w:rsidR="00CF6243">
        <w:t>___</w:t>
      </w:r>
      <w:r w:rsidRPr="005F19CB">
        <w:t>(</w:t>
      </w:r>
      <w:r>
        <w:t>DPP/SPA/MBR</w:t>
      </w:r>
      <w:r w:rsidRPr="005F19CB">
        <w:t>-</w:t>
      </w:r>
      <w:r w:rsidR="00524284">
        <w:t>7</w:t>
      </w:r>
      <w:r w:rsidRPr="005F19CB">
        <w:t>)</w:t>
      </w:r>
      <w:r>
        <w:t xml:space="preserve"> contains detailed information regarding </w:t>
      </w:r>
      <w:r w:rsidR="00BD79D3">
        <w:t xml:space="preserve">the </w:t>
      </w:r>
      <w:r>
        <w:t>distribution</w:t>
      </w:r>
      <w:r w:rsidR="00B849AD">
        <w:t xml:space="preserve"> </w:t>
      </w:r>
      <w:r w:rsidR="00D355FD">
        <w:t xml:space="preserve">investment packages.  </w:t>
      </w:r>
      <w:r w:rsidR="00B849AD">
        <w:t xml:space="preserve"> </w:t>
      </w:r>
    </w:p>
    <w:p w14:paraId="692EDFFE" w14:textId="77777777" w:rsidR="00AD3F28" w:rsidRDefault="00AD3F28" w:rsidP="00890774">
      <w:pPr>
        <w:pStyle w:val="ListParagraph"/>
        <w:spacing w:line="360" w:lineRule="auto"/>
      </w:pPr>
    </w:p>
    <w:p w14:paraId="46540564" w14:textId="7335B7B3" w:rsidR="00552C17" w:rsidRDefault="00AD3F28" w:rsidP="00890774">
      <w:pPr>
        <w:pStyle w:val="BodyText"/>
        <w:numPr>
          <w:ilvl w:val="0"/>
          <w:numId w:val="4"/>
        </w:numPr>
        <w:spacing w:before="0" w:after="0" w:line="360" w:lineRule="auto"/>
      </w:pPr>
      <w:r>
        <w:t>Exhibit</w:t>
      </w:r>
      <w:r w:rsidR="00CF6243">
        <w:t>___</w:t>
      </w:r>
      <w:r>
        <w:t>(DPP/SPA/MBR-</w:t>
      </w:r>
      <w:r w:rsidR="00524284">
        <w:t>8</w:t>
      </w:r>
      <w:r>
        <w:t xml:space="preserve">) contains detailed information regarding the transmission </w:t>
      </w:r>
      <w:r w:rsidR="00F35AB2">
        <w:t xml:space="preserve">investment </w:t>
      </w:r>
      <w:r>
        <w:t>packag</w:t>
      </w:r>
      <w:r w:rsidR="00D355FD">
        <w:t>es.</w:t>
      </w:r>
      <w:r w:rsidR="00552C17">
        <w:tab/>
      </w:r>
      <w:r w:rsidR="00552C17">
        <w:tab/>
      </w:r>
      <w:r w:rsidR="00552C17">
        <w:tab/>
      </w:r>
      <w:r w:rsidR="00552C17">
        <w:tab/>
      </w:r>
      <w:r w:rsidR="00552C17">
        <w:tab/>
      </w:r>
      <w:r w:rsidR="00552C17">
        <w:tab/>
      </w:r>
      <w:r w:rsidR="00552C17">
        <w:tab/>
      </w:r>
      <w:r w:rsidR="00552C17">
        <w:tab/>
      </w:r>
      <w:bookmarkStart w:id="10" w:name="_Hlk11050975"/>
    </w:p>
    <w:p w14:paraId="205F994F" w14:textId="77777777" w:rsidR="00C970E8" w:rsidRPr="00552C17" w:rsidRDefault="00C970E8" w:rsidP="00890774">
      <w:pPr>
        <w:pStyle w:val="BodyText"/>
        <w:spacing w:before="0" w:after="0" w:line="360" w:lineRule="auto"/>
        <w:ind w:firstLine="0"/>
      </w:pPr>
    </w:p>
    <w:p w14:paraId="0E892639" w14:textId="757A0FFA" w:rsidR="007E53A1" w:rsidRPr="00C970E8" w:rsidRDefault="00C827B4" w:rsidP="00890774">
      <w:pPr>
        <w:pStyle w:val="OutlineL1"/>
        <w:numPr>
          <w:ilvl w:val="0"/>
          <w:numId w:val="0"/>
        </w:numPr>
        <w:spacing w:after="0" w:line="360" w:lineRule="auto"/>
      </w:pPr>
      <w:bookmarkStart w:id="11" w:name="_Ref11173377"/>
      <w:bookmarkStart w:id="12" w:name="_Toc11174246"/>
      <w:r w:rsidRPr="00C827B4">
        <w:rPr>
          <w:u w:val="none"/>
        </w:rPr>
        <w:t>IV.</w:t>
      </w:r>
      <w:r w:rsidR="00890774" w:rsidRPr="00C827B4">
        <w:rPr>
          <w:u w:val="none"/>
        </w:rPr>
        <w:t xml:space="preserve">  </w:t>
      </w:r>
      <w:r w:rsidR="00890774" w:rsidRPr="00890774">
        <w:rPr>
          <w:u w:val="none"/>
        </w:rPr>
        <w:tab/>
      </w:r>
      <w:r w:rsidR="007E53A1" w:rsidRPr="00C970E8">
        <w:t xml:space="preserve">RECOVERY OF </w:t>
      </w:r>
      <w:r w:rsidR="0097707E" w:rsidRPr="00C970E8">
        <w:t xml:space="preserve">CCR </w:t>
      </w:r>
      <w:r w:rsidR="007E53A1" w:rsidRPr="00C970E8">
        <w:t>ARO</w:t>
      </w:r>
      <w:r w:rsidR="0097707E" w:rsidRPr="00C970E8">
        <w:t xml:space="preserve"> COMPLIANCE</w:t>
      </w:r>
      <w:r w:rsidR="007E53A1" w:rsidRPr="00C970E8">
        <w:t xml:space="preserve"> COSTS</w:t>
      </w:r>
      <w:bookmarkEnd w:id="11"/>
      <w:bookmarkEnd w:id="12"/>
    </w:p>
    <w:bookmarkEnd w:id="10"/>
    <w:p w14:paraId="211CE821" w14:textId="77777777" w:rsidR="00890774" w:rsidRDefault="00890774" w:rsidP="00890774">
      <w:pPr>
        <w:spacing w:line="360" w:lineRule="auto"/>
        <w:ind w:left="720" w:hanging="720"/>
        <w:jc w:val="both"/>
        <w:rPr>
          <w:b/>
        </w:rPr>
      </w:pPr>
    </w:p>
    <w:p w14:paraId="3E8C06DD" w14:textId="25ED7136" w:rsidR="007E53A1" w:rsidRDefault="007E53A1" w:rsidP="00890774">
      <w:pPr>
        <w:spacing w:line="360" w:lineRule="auto"/>
        <w:ind w:left="720" w:hanging="720"/>
        <w:jc w:val="both"/>
        <w:rPr>
          <w:b/>
        </w:rPr>
      </w:pPr>
      <w:r>
        <w:rPr>
          <w:b/>
        </w:rPr>
        <w:t>Q.</w:t>
      </w:r>
      <w:r>
        <w:rPr>
          <w:b/>
        </w:rPr>
        <w:tab/>
        <w:t>PLEASE DESCRIBE THE CURRENT RECOVERY OF ARO COSTS.</w:t>
      </w:r>
    </w:p>
    <w:p w14:paraId="4352728A" w14:textId="48A39CCE" w:rsidR="00CF6243" w:rsidRPr="00CF6243" w:rsidRDefault="007E53A1" w:rsidP="00CF6243">
      <w:pPr>
        <w:spacing w:line="360" w:lineRule="auto"/>
        <w:ind w:left="720" w:hanging="720"/>
        <w:jc w:val="both"/>
      </w:pPr>
      <w:r w:rsidRPr="000E67FA">
        <w:t>A.</w:t>
      </w:r>
      <w:r w:rsidRPr="000E67FA">
        <w:tab/>
      </w:r>
      <w:r w:rsidR="00BC079E">
        <w:t>The Company currently recover</w:t>
      </w:r>
      <w:r w:rsidR="00BC079E" w:rsidRPr="00A11554">
        <w:t>s</w:t>
      </w:r>
      <w:r w:rsidR="004756D6" w:rsidRPr="00A11554">
        <w:t xml:space="preserve"> </w:t>
      </w:r>
      <w:r w:rsidR="004756D6" w:rsidRPr="00FB6F63">
        <w:t>all</w:t>
      </w:r>
      <w:r w:rsidR="00BC079E">
        <w:t xml:space="preserve"> ARO</w:t>
      </w:r>
      <w:r w:rsidR="00BC230F">
        <w:t xml:space="preserve"> </w:t>
      </w:r>
      <w:r w:rsidR="00BC079E">
        <w:t>costs based on the annual accrual approved in the 2013 Rate Case Order</w:t>
      </w:r>
      <w:r w:rsidR="00F5312D">
        <w:t xml:space="preserve">.  </w:t>
      </w:r>
      <w:r w:rsidR="00BC079E">
        <w:t>Similar to plant removal and dismantlement, ARO costs were designed to be recovered over the life of the related asset and prior to the expected date of the ARO settlements, which were generally</w:t>
      </w:r>
      <w:r w:rsidR="00F35AB2">
        <w:t xml:space="preserve"> expected</w:t>
      </w:r>
      <w:r w:rsidR="00BC079E">
        <w:t xml:space="preserve"> to occur at the end of life of the asset.  The accrued recovery of the ARO costs and actual settlements are offset and any </w:t>
      </w:r>
      <w:r w:rsidR="00F35AB2">
        <w:t xml:space="preserve">resulting </w:t>
      </w:r>
      <w:r w:rsidR="00BC079E">
        <w:t xml:space="preserve">under- or over-recovery is reflected in a </w:t>
      </w:r>
      <w:r w:rsidR="00F051E8">
        <w:t xml:space="preserve">net </w:t>
      </w:r>
      <w:r w:rsidR="00BC079E">
        <w:t>regulatory liability account included in retail rate base.  Except for costs associated with ash ponds and certain landfills for CCR compliance, Georgia Power proposes to continue following this methodology of accruing for ARO costs over the life of the related asset.</w:t>
      </w:r>
      <w:r w:rsidR="00CF6243">
        <w:rPr>
          <w:b/>
        </w:rPr>
        <w:br w:type="page"/>
      </w:r>
    </w:p>
    <w:p w14:paraId="4D00F21F" w14:textId="2057F3A1" w:rsidR="00526125" w:rsidRDefault="007E53A1" w:rsidP="007E53A1">
      <w:pPr>
        <w:spacing w:line="360" w:lineRule="auto"/>
        <w:ind w:left="720" w:hanging="720"/>
        <w:jc w:val="both"/>
        <w:rPr>
          <w:b/>
        </w:rPr>
      </w:pPr>
      <w:r w:rsidRPr="005F19CB">
        <w:rPr>
          <w:b/>
        </w:rPr>
        <w:lastRenderedPageBreak/>
        <w:t>Q.</w:t>
      </w:r>
      <w:r w:rsidRPr="005F19CB">
        <w:rPr>
          <w:b/>
        </w:rPr>
        <w:tab/>
      </w:r>
      <w:r w:rsidR="00526125">
        <w:rPr>
          <w:b/>
        </w:rPr>
        <w:t xml:space="preserve">PLEASE EXPLAIN HOW THE </w:t>
      </w:r>
      <w:r w:rsidR="00526125" w:rsidRPr="00C84338">
        <w:rPr>
          <w:b/>
        </w:rPr>
        <w:t>COMPANY PROPOSE</w:t>
      </w:r>
      <w:r w:rsidR="00526125">
        <w:rPr>
          <w:b/>
        </w:rPr>
        <w:t>S</w:t>
      </w:r>
      <w:r w:rsidR="00526125" w:rsidRPr="00C84338">
        <w:rPr>
          <w:b/>
        </w:rPr>
        <w:t xml:space="preserve"> </w:t>
      </w:r>
      <w:r w:rsidR="00526125">
        <w:rPr>
          <w:b/>
        </w:rPr>
        <w:t xml:space="preserve">TO </w:t>
      </w:r>
      <w:r w:rsidR="00526125" w:rsidRPr="00C84338">
        <w:rPr>
          <w:b/>
        </w:rPr>
        <w:t>RECOVER</w:t>
      </w:r>
      <w:r w:rsidR="0097707E">
        <w:rPr>
          <w:b/>
        </w:rPr>
        <w:t xml:space="preserve"> CCR</w:t>
      </w:r>
      <w:r w:rsidR="00526125" w:rsidRPr="00C84338">
        <w:rPr>
          <w:b/>
        </w:rPr>
        <w:t xml:space="preserve"> ARO</w:t>
      </w:r>
      <w:r w:rsidR="0097707E">
        <w:rPr>
          <w:b/>
        </w:rPr>
        <w:t xml:space="preserve"> COMPLIANCE</w:t>
      </w:r>
      <w:r w:rsidR="00526125" w:rsidRPr="00C84338">
        <w:rPr>
          <w:b/>
        </w:rPr>
        <w:t xml:space="preserve"> COSTS</w:t>
      </w:r>
      <w:r w:rsidR="00EF7D91">
        <w:rPr>
          <w:b/>
        </w:rPr>
        <w:t>.</w:t>
      </w:r>
    </w:p>
    <w:p w14:paraId="38556EDF" w14:textId="1519DBA0" w:rsidR="0099645E" w:rsidRDefault="007E53A1" w:rsidP="007E53A1">
      <w:pPr>
        <w:spacing w:line="360" w:lineRule="auto"/>
        <w:ind w:left="720" w:hanging="720"/>
        <w:jc w:val="both"/>
      </w:pPr>
      <w:r>
        <w:t>A.</w:t>
      </w:r>
      <w:r>
        <w:tab/>
      </w:r>
      <w:r w:rsidR="00526125">
        <w:t xml:space="preserve">As provided and discussed in the Company’s 2019 IRP filing, the projected annual spend on ash ponds and landfills necessary to comply with federal and state CCR environmental regulations </w:t>
      </w:r>
      <w:r w:rsidR="004756D6">
        <w:t xml:space="preserve">are currently </w:t>
      </w:r>
      <w:r w:rsidR="00526125">
        <w:t>estimate</w:t>
      </w:r>
      <w:r w:rsidR="004756D6">
        <w:t>d to be</w:t>
      </w:r>
      <w:r w:rsidR="00526125">
        <w:t xml:space="preserve"> $277</w:t>
      </w:r>
      <w:r w:rsidR="00F35AB2">
        <w:t xml:space="preserve"> million</w:t>
      </w:r>
      <w:r w:rsidR="00526125">
        <w:t>, $</w:t>
      </w:r>
      <w:r w:rsidR="00E27C04">
        <w:t>395</w:t>
      </w:r>
      <w:r w:rsidR="00F35AB2">
        <w:t xml:space="preserve"> million</w:t>
      </w:r>
      <w:r w:rsidR="00526125">
        <w:t>, and $</w:t>
      </w:r>
      <w:r w:rsidR="00E27C04">
        <w:t xml:space="preserve">655 </w:t>
      </w:r>
      <w:r w:rsidR="00526125">
        <w:t>million for 2020, 2021, and 2022, respectively.  In addition, the ARO regulatory balance related to CCR</w:t>
      </w:r>
      <w:r w:rsidR="00F35AB2">
        <w:t xml:space="preserve"> AROs</w:t>
      </w:r>
      <w:r w:rsidR="00526125">
        <w:t xml:space="preserve"> is projected to be cumulatively under-collected by $</w:t>
      </w:r>
      <w:r w:rsidR="00CE1820">
        <w:t xml:space="preserve">241 </w:t>
      </w:r>
      <w:r w:rsidR="00526125">
        <w:t>million as of December 31, 2019.</w:t>
      </w:r>
      <w:r w:rsidR="0049198E">
        <w:tab/>
      </w:r>
      <w:r w:rsidR="0049198E">
        <w:tab/>
      </w:r>
    </w:p>
    <w:p w14:paraId="408B3229" w14:textId="77777777" w:rsidR="007E53A1" w:rsidRDefault="0049198E" w:rsidP="007E53A1">
      <w:pPr>
        <w:spacing w:line="360" w:lineRule="auto"/>
        <w:ind w:left="720" w:hanging="720"/>
        <w:jc w:val="both"/>
      </w:pPr>
      <w:r>
        <w:tab/>
      </w:r>
      <w:r>
        <w:tab/>
      </w:r>
      <w:r>
        <w:tab/>
      </w:r>
      <w:r>
        <w:tab/>
      </w:r>
      <w:r>
        <w:tab/>
      </w:r>
    </w:p>
    <w:p w14:paraId="40D7AC69" w14:textId="3506B07E" w:rsidR="00204193" w:rsidRDefault="00526125" w:rsidP="000363FA">
      <w:pPr>
        <w:spacing w:line="360" w:lineRule="auto"/>
        <w:ind w:left="720"/>
        <w:jc w:val="both"/>
      </w:pPr>
      <w:r w:rsidRPr="00526125">
        <w:t>To address this under-recovery, the Company proposes to recover the balance as of December 31, 2019 ratably over the three-year period ending December 31, 2022.</w:t>
      </w:r>
      <w:r w:rsidR="00204193">
        <w:t xml:space="preserve">  The following chart illustrates the Company’s proposal for recovery</w:t>
      </w:r>
      <w:r w:rsidR="00493EFA">
        <w:t xml:space="preserve"> </w:t>
      </w:r>
      <w:r w:rsidR="00204193">
        <w:t>of CCR ARO costs</w:t>
      </w:r>
      <w:r w:rsidR="00493EFA">
        <w:t xml:space="preserve"> under the proposed ARP</w:t>
      </w:r>
      <w:r w:rsidR="00204193">
        <w:t>.</w:t>
      </w:r>
    </w:p>
    <w:p w14:paraId="36C7F44A" w14:textId="77777777" w:rsidR="00E67FC2" w:rsidRDefault="00E67FC2" w:rsidP="00204193">
      <w:pPr>
        <w:spacing w:line="360" w:lineRule="auto"/>
        <w:ind w:left="720"/>
        <w:jc w:val="center"/>
        <w:rPr>
          <w:b/>
        </w:rPr>
      </w:pPr>
    </w:p>
    <w:p w14:paraId="185E0505" w14:textId="0B7F896E" w:rsidR="00204193" w:rsidRPr="001A4537" w:rsidRDefault="001A4537" w:rsidP="00933C89">
      <w:pPr>
        <w:spacing w:line="360" w:lineRule="auto"/>
        <w:jc w:val="center"/>
        <w:rPr>
          <w:b/>
        </w:rPr>
      </w:pPr>
      <w:r w:rsidRPr="001A4537">
        <w:rPr>
          <w:b/>
        </w:rPr>
        <w:t xml:space="preserve">Chart 4:  </w:t>
      </w:r>
      <w:r w:rsidR="002A116F" w:rsidRPr="001A4537">
        <w:rPr>
          <w:b/>
        </w:rPr>
        <w:t xml:space="preserve">Illustration of </w:t>
      </w:r>
      <w:r w:rsidR="00204193" w:rsidRPr="001A4537">
        <w:rPr>
          <w:b/>
        </w:rPr>
        <w:t>Proposed CCR ARO Recovery</w:t>
      </w:r>
      <w:r w:rsidR="002A116F" w:rsidRPr="001A4537">
        <w:rPr>
          <w:b/>
        </w:rPr>
        <w:t xml:space="preserve"> Method by Year</w:t>
      </w:r>
    </w:p>
    <w:p w14:paraId="16220983" w14:textId="0C50149B" w:rsidR="00204193" w:rsidRDefault="0041639C" w:rsidP="00933C89">
      <w:pPr>
        <w:jc w:val="center"/>
      </w:pPr>
      <w:r w:rsidRPr="00E75F24">
        <w:rPr>
          <w:noProof/>
        </w:rPr>
        <w:drawing>
          <wp:inline distT="0" distB="0" distL="0" distR="0" wp14:anchorId="6DF7920B" wp14:editId="45EF8E44">
            <wp:extent cx="5130224" cy="340315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30074" cy="3535730"/>
                    </a:xfrm>
                    <a:prstGeom prst="rect">
                      <a:avLst/>
                    </a:prstGeom>
                  </pic:spPr>
                </pic:pic>
              </a:graphicData>
            </a:graphic>
          </wp:inline>
        </w:drawing>
      </w:r>
    </w:p>
    <w:p w14:paraId="1EDD1D7E" w14:textId="6B9687CA" w:rsidR="00933C89" w:rsidRPr="00933C89" w:rsidRDefault="00D407F4" w:rsidP="008E5258">
      <w:pPr>
        <w:ind w:left="720" w:firstLine="720"/>
        <w:jc w:val="center"/>
        <w:rPr>
          <w:i/>
          <w:sz w:val="19"/>
          <w:szCs w:val="19"/>
        </w:rPr>
      </w:pPr>
      <w:r w:rsidRPr="00513CBD">
        <w:rPr>
          <w:i/>
          <w:sz w:val="19"/>
          <w:szCs w:val="19"/>
        </w:rPr>
        <w:t>Chart for illustrative purposes only</w:t>
      </w:r>
      <w:r w:rsidR="00933C89">
        <w:br w:type="page"/>
      </w:r>
    </w:p>
    <w:p w14:paraId="2B19EF20" w14:textId="659760BF" w:rsidR="00CC176E" w:rsidRDefault="00526125" w:rsidP="000363FA">
      <w:pPr>
        <w:spacing w:line="360" w:lineRule="auto"/>
        <w:ind w:left="720"/>
        <w:jc w:val="both"/>
      </w:pPr>
      <w:r w:rsidRPr="00526125">
        <w:lastRenderedPageBreak/>
        <w:t xml:space="preserve">For costs projected to be incurred in 2020, the Company proposes to recover the annual spend on ash ponds and landfills ratably over the three-year period ending December 31, 2022.  The </w:t>
      </w:r>
      <w:r w:rsidR="002A116F">
        <w:t xml:space="preserve">projected </w:t>
      </w:r>
      <w:r w:rsidRPr="00526125">
        <w:t xml:space="preserve">annual spend in 2021 would be recovered in years 2021 through 2023; and the </w:t>
      </w:r>
      <w:r w:rsidR="002A116F">
        <w:t xml:space="preserve">projected </w:t>
      </w:r>
      <w:r w:rsidRPr="00526125">
        <w:t>annual spend in 2022 would be recovered in years 2022 through 2024</w:t>
      </w:r>
      <w:r w:rsidR="00F5312D" w:rsidRPr="00526125">
        <w:t xml:space="preserve">.  </w:t>
      </w:r>
      <w:r w:rsidRPr="00526125">
        <w:t xml:space="preserve">Including recovery of the projected under-collected balance at December </w:t>
      </w:r>
      <w:r w:rsidR="00EF7D91">
        <w:t>3</w:t>
      </w:r>
      <w:r w:rsidRPr="00526125">
        <w:t xml:space="preserve">1, 2019, </w:t>
      </w:r>
      <w:r w:rsidR="00CE1820">
        <w:t>projected expenditures in 2020 through 2022, and the return on</w:t>
      </w:r>
      <w:r w:rsidRPr="00526125">
        <w:t xml:space="preserve"> </w:t>
      </w:r>
      <w:r w:rsidR="00C713BA" w:rsidRPr="00526125">
        <w:t xml:space="preserve">the </w:t>
      </w:r>
      <w:r w:rsidR="00C713BA">
        <w:t>under</w:t>
      </w:r>
      <w:r w:rsidR="00F31508">
        <w:t xml:space="preserve">-recovered balance, </w:t>
      </w:r>
      <w:r w:rsidRPr="00526125">
        <w:t xml:space="preserve">and subtracting the level of ARO accrual for </w:t>
      </w:r>
      <w:r w:rsidR="00F31508">
        <w:t xml:space="preserve">ash pond </w:t>
      </w:r>
      <w:r w:rsidRPr="00526125">
        <w:t>compliance currently reflected in base rates, this methodology results in an annual revenue deficiency of $158</w:t>
      </w:r>
      <w:r w:rsidR="00F31508">
        <w:t xml:space="preserve"> million</w:t>
      </w:r>
      <w:r w:rsidRPr="00526125">
        <w:t>, $298</w:t>
      </w:r>
      <w:r w:rsidR="00F31508">
        <w:t xml:space="preserve"> million</w:t>
      </w:r>
      <w:r w:rsidRPr="00526125">
        <w:t>, and $525 million for 2020, 2021, and 2022, respectively.  The Company proposes to increase traditional base rates $158 million in 2020 followed by additional annual increases to traditional base rates of $140</w:t>
      </w:r>
      <w:r w:rsidR="008C5B97">
        <w:t xml:space="preserve"> million</w:t>
      </w:r>
      <w:r w:rsidRPr="00526125">
        <w:t xml:space="preserve"> and $227 million effective January 1, 2021 and 2022 respectively.  </w:t>
      </w:r>
    </w:p>
    <w:p w14:paraId="65501412" w14:textId="77777777" w:rsidR="00204193" w:rsidRDefault="00204193" w:rsidP="000363FA">
      <w:pPr>
        <w:spacing w:line="360" w:lineRule="auto"/>
        <w:ind w:left="720"/>
        <w:jc w:val="both"/>
      </w:pPr>
    </w:p>
    <w:p w14:paraId="1587A0F5" w14:textId="18680055" w:rsidR="001D7A5B" w:rsidRPr="00B565B4" w:rsidRDefault="001D7A5B" w:rsidP="00FD3B3A">
      <w:pPr>
        <w:pStyle w:val="BodyText"/>
        <w:keepNext/>
        <w:keepLines/>
        <w:spacing w:before="0" w:after="0" w:line="360" w:lineRule="auto"/>
        <w:ind w:left="720" w:hanging="720"/>
        <w:rPr>
          <w:b/>
        </w:rPr>
      </w:pPr>
      <w:r w:rsidRPr="00B565B4">
        <w:rPr>
          <w:b/>
        </w:rPr>
        <w:t>Q</w:t>
      </w:r>
      <w:r>
        <w:rPr>
          <w:b/>
        </w:rPr>
        <w:t>.</w:t>
      </w:r>
      <w:r>
        <w:rPr>
          <w:b/>
        </w:rPr>
        <w:tab/>
        <w:t xml:space="preserve">PLEASE ELABORATE ON THE COMPANY’S PROPOSED </w:t>
      </w:r>
      <w:r w:rsidR="00CC176E">
        <w:rPr>
          <w:b/>
        </w:rPr>
        <w:t xml:space="preserve">PROCESS FOR THE </w:t>
      </w:r>
      <w:r>
        <w:rPr>
          <w:b/>
        </w:rPr>
        <w:t>ANNUAL RATE ADJUSTMENTS FOR CCR ARO COMPLIANCE COSTS</w:t>
      </w:r>
      <w:r w:rsidR="00FE5271">
        <w:rPr>
          <w:b/>
        </w:rPr>
        <w:t>.</w:t>
      </w:r>
    </w:p>
    <w:p w14:paraId="19F95A57" w14:textId="55A20827" w:rsidR="008E5258" w:rsidRDefault="001D7A5B" w:rsidP="008E5258">
      <w:pPr>
        <w:keepNext/>
        <w:keepLines/>
        <w:spacing w:line="360" w:lineRule="auto"/>
        <w:ind w:left="720" w:hanging="720"/>
        <w:jc w:val="both"/>
      </w:pPr>
      <w:r w:rsidRPr="000A517E">
        <w:t>A.</w:t>
      </w:r>
      <w:r w:rsidRPr="000A517E">
        <w:tab/>
      </w:r>
      <w:r>
        <w:t xml:space="preserve">Following the initial increase effective January 1, 2020, the Company proposes to submit a filing on November 1, 2020 for recovery of the projected incremental increase in </w:t>
      </w:r>
      <w:r w:rsidR="00C713BA">
        <w:t xml:space="preserve">CCR </w:t>
      </w:r>
      <w:r>
        <w:t xml:space="preserve">ARO compliance costs for 2021.  </w:t>
      </w:r>
      <w:r w:rsidR="00D45B29">
        <w:t xml:space="preserve">The concept of a semi-annual </w:t>
      </w:r>
      <w:r w:rsidR="00C713BA">
        <w:t>report filing</w:t>
      </w:r>
      <w:r>
        <w:t xml:space="preserve"> </w:t>
      </w:r>
      <w:r w:rsidR="00D45B29">
        <w:t xml:space="preserve">was introduced in the 2019 IRP.  The 2019 IRP Stipulation requires the Company and Staff to determine the format and content of such filing.  Our proposed adjustments would be based on this filing, with new rates to be </w:t>
      </w:r>
      <w:r>
        <w:t>effective January 1, 2021</w:t>
      </w:r>
      <w:r w:rsidR="00F5312D">
        <w:t xml:space="preserve">.  </w:t>
      </w:r>
      <w:r>
        <w:t xml:space="preserve">On November 1, 2021, the Company would submit an additional filing for recovery of the projected incremental increase in </w:t>
      </w:r>
      <w:r w:rsidR="00C713BA">
        <w:t xml:space="preserve">CCR </w:t>
      </w:r>
      <w:r>
        <w:t xml:space="preserve">ARO compliance costs for 2022 with new rates to be effective January 1, 2022.  </w:t>
      </w:r>
      <w:r w:rsidR="008E5258">
        <w:br w:type="page"/>
      </w:r>
    </w:p>
    <w:p w14:paraId="0E0B79E0" w14:textId="5E93BCC9" w:rsidR="007E53A1" w:rsidRDefault="001A4537" w:rsidP="001A4537">
      <w:pPr>
        <w:pStyle w:val="OutlineL1"/>
        <w:keepNext/>
        <w:numPr>
          <w:ilvl w:val="0"/>
          <w:numId w:val="0"/>
        </w:numPr>
      </w:pPr>
      <w:bookmarkStart w:id="13" w:name="_Ref11173389"/>
      <w:bookmarkStart w:id="14" w:name="_Toc11174247"/>
      <w:bookmarkStart w:id="15" w:name="_Hlk11050997"/>
      <w:r w:rsidRPr="001A4537">
        <w:rPr>
          <w:u w:val="none"/>
        </w:rPr>
        <w:lastRenderedPageBreak/>
        <w:t xml:space="preserve">V.     </w:t>
      </w:r>
      <w:r w:rsidR="007E53A1" w:rsidRPr="005F19CB">
        <w:t>ENVIRONMENTAL COMPLIANCE COST RECOVERY TARIFF</w:t>
      </w:r>
      <w:bookmarkEnd w:id="13"/>
      <w:bookmarkEnd w:id="14"/>
    </w:p>
    <w:bookmarkEnd w:id="15"/>
    <w:p w14:paraId="694F460B" w14:textId="77777777" w:rsidR="007E53A1" w:rsidRPr="005F19CB" w:rsidRDefault="007E53A1" w:rsidP="00C23928">
      <w:pPr>
        <w:pStyle w:val="BodyText"/>
        <w:keepNext/>
        <w:spacing w:before="0" w:after="0" w:line="360" w:lineRule="auto"/>
        <w:ind w:left="720" w:hanging="720"/>
      </w:pPr>
      <w:r w:rsidRPr="005F19CB">
        <w:rPr>
          <w:b/>
        </w:rPr>
        <w:t>Q.</w:t>
      </w:r>
      <w:r w:rsidRPr="005F19CB">
        <w:rPr>
          <w:b/>
        </w:rPr>
        <w:tab/>
        <w:t>WHAT RATE INCREASE IS THE COMPANY REQUESTING RELATED TO ECCR COSTS?</w:t>
      </w:r>
    </w:p>
    <w:p w14:paraId="213F04D2" w14:textId="44CFA0E7" w:rsidR="007E53A1" w:rsidRDefault="007E53A1" w:rsidP="007E53A1">
      <w:pPr>
        <w:pStyle w:val="BodyText"/>
        <w:spacing w:before="0" w:after="0" w:line="360" w:lineRule="auto"/>
        <w:ind w:left="720" w:hanging="720"/>
      </w:pPr>
      <w:r w:rsidRPr="005F19CB">
        <w:t>A.</w:t>
      </w:r>
      <w:r w:rsidRPr="005F19CB">
        <w:tab/>
      </w:r>
      <w:r w:rsidR="0057710A" w:rsidRPr="005F19CB">
        <w:t>The Company is requesting an increase of $</w:t>
      </w:r>
      <w:r w:rsidR="0057710A">
        <w:t>165</w:t>
      </w:r>
      <w:r w:rsidR="0057710A" w:rsidRPr="005F19CB">
        <w:t xml:space="preserve"> million to be collected through the ECCR tariff in 20</w:t>
      </w:r>
      <w:r w:rsidR="0057710A">
        <w:t>20</w:t>
      </w:r>
      <w:r w:rsidR="0057710A" w:rsidRPr="005F19CB">
        <w:t xml:space="preserve">.  This amount reflects the levelization of revenue requirements designed to provide stable rates for </w:t>
      </w:r>
      <w:r w:rsidR="0057710A">
        <w:t>customers</w:t>
      </w:r>
      <w:r w:rsidR="0057710A" w:rsidRPr="005F19CB">
        <w:t xml:space="preserve"> over the three-year period.  This revenue levelization is reflected in Exhibit__</w:t>
      </w:r>
      <w:r w:rsidR="00F5312D" w:rsidRPr="005F19CB">
        <w:t>_(</w:t>
      </w:r>
      <w:r w:rsidR="0057710A">
        <w:t>DPP/SPA/MBR</w:t>
      </w:r>
      <w:r w:rsidR="0057710A" w:rsidRPr="005F19CB">
        <w:t xml:space="preserve">-1, Schedule </w:t>
      </w:r>
      <w:r w:rsidR="000363FA">
        <w:t>3</w:t>
      </w:r>
      <w:r w:rsidR="000363FA" w:rsidRPr="005F19CB">
        <w:t xml:space="preserve"> </w:t>
      </w:r>
      <w:r w:rsidR="0057710A" w:rsidRPr="005F19CB">
        <w:t xml:space="preserve">ECCR), which also shows the projected </w:t>
      </w:r>
      <w:r w:rsidR="0057710A">
        <w:t xml:space="preserve">required environmental </w:t>
      </w:r>
      <w:r w:rsidR="0057710A" w:rsidRPr="005F19CB">
        <w:t>investments and expenses associated with the ECCR tariff in 20</w:t>
      </w:r>
      <w:r w:rsidR="0057710A">
        <w:t>20</w:t>
      </w:r>
      <w:r w:rsidR="0057710A" w:rsidRPr="005F19CB">
        <w:t>, 20</w:t>
      </w:r>
      <w:r w:rsidR="0057710A">
        <w:t>2</w:t>
      </w:r>
      <w:r w:rsidR="0057710A" w:rsidRPr="005F19CB">
        <w:t>1</w:t>
      </w:r>
      <w:r w:rsidR="0057710A">
        <w:t>,</w:t>
      </w:r>
      <w:r w:rsidR="0057710A" w:rsidRPr="005F19CB">
        <w:t xml:space="preserve"> and 20</w:t>
      </w:r>
      <w:r w:rsidR="0057710A">
        <w:t>22</w:t>
      </w:r>
      <w:r w:rsidR="0057710A" w:rsidRPr="005F19CB">
        <w:t>.</w:t>
      </w:r>
      <w:r w:rsidR="000363FA">
        <w:t xml:space="preserve">  </w:t>
      </w:r>
      <w:r w:rsidR="0057710A" w:rsidRPr="005F19CB">
        <w:rPr>
          <w:rFonts w:eastAsia="Times New Roman"/>
        </w:rPr>
        <w:t xml:space="preserve">The costs supporting these projections are consistent with the Company’s </w:t>
      </w:r>
      <w:r w:rsidR="00A02BDC">
        <w:rPr>
          <w:rFonts w:eastAsia="Times New Roman"/>
        </w:rPr>
        <w:t xml:space="preserve">ECS </w:t>
      </w:r>
      <w:r w:rsidR="0057710A" w:rsidRPr="005F19CB">
        <w:t>filed with</w:t>
      </w:r>
      <w:r w:rsidR="0057710A">
        <w:t xml:space="preserve"> and reviewed by</w:t>
      </w:r>
      <w:r w:rsidR="0057710A" w:rsidRPr="005F19CB">
        <w:t xml:space="preserve"> the Commission in the Company’s 201</w:t>
      </w:r>
      <w:r w:rsidR="0057710A">
        <w:t>9</w:t>
      </w:r>
      <w:r w:rsidR="0057710A" w:rsidRPr="005F19CB">
        <w:t xml:space="preserve"> IRP.</w:t>
      </w:r>
      <w:r w:rsidR="00B944AA">
        <w:t xml:space="preserve">  The 2019 IRP Stipulation provides for the approval of the ECS.</w:t>
      </w:r>
    </w:p>
    <w:p w14:paraId="09A8BCC4" w14:textId="77777777" w:rsidR="007E53A1" w:rsidRPr="005F19CB" w:rsidRDefault="007E53A1" w:rsidP="007E53A1">
      <w:pPr>
        <w:pStyle w:val="BodyText"/>
        <w:spacing w:before="0" w:after="0" w:line="360" w:lineRule="auto"/>
        <w:ind w:left="720" w:hanging="720"/>
      </w:pPr>
    </w:p>
    <w:p w14:paraId="295E61D4" w14:textId="77777777" w:rsidR="007E53A1" w:rsidRPr="005F19CB" w:rsidRDefault="007E53A1" w:rsidP="007E53A1">
      <w:pPr>
        <w:pStyle w:val="BodyText"/>
        <w:spacing w:before="0" w:after="0" w:line="360" w:lineRule="auto"/>
        <w:ind w:left="720" w:hanging="720"/>
        <w:rPr>
          <w:b/>
        </w:rPr>
      </w:pPr>
      <w:r w:rsidRPr="005F19CB">
        <w:rPr>
          <w:b/>
        </w:rPr>
        <w:t>Q.</w:t>
      </w:r>
      <w:r w:rsidRPr="005F19CB">
        <w:rPr>
          <w:b/>
        </w:rPr>
        <w:tab/>
        <w:t>WHAT HAPPENS TO THE ECCR TARIFF IF PROJECTED COSTS CHANGE?</w:t>
      </w:r>
    </w:p>
    <w:p w14:paraId="24DBC574" w14:textId="0090E6C9" w:rsidR="007E53A1" w:rsidRDefault="007E53A1" w:rsidP="007E53A1">
      <w:pPr>
        <w:pStyle w:val="BodyText"/>
        <w:spacing w:before="0" w:after="0" w:line="360" w:lineRule="auto"/>
        <w:ind w:left="720" w:hanging="720"/>
      </w:pPr>
      <w:r w:rsidRPr="005F19CB">
        <w:t>A.</w:t>
      </w:r>
      <w:r w:rsidRPr="005F19CB">
        <w:tab/>
      </w:r>
      <w:r w:rsidR="00AB63C1" w:rsidRPr="005F19CB">
        <w:t>Consistent with the current ECCR tariff approved by the Commission in the 201</w:t>
      </w:r>
      <w:r w:rsidR="00AB63C1">
        <w:t>6 Compliance Filing pursuant to the 2013</w:t>
      </w:r>
      <w:r w:rsidR="00AB63C1" w:rsidRPr="005F19CB">
        <w:t xml:space="preserve"> Rate</w:t>
      </w:r>
      <w:r w:rsidR="00AB63C1">
        <w:t xml:space="preserve"> Case</w:t>
      </w:r>
      <w:r w:rsidR="00AB63C1" w:rsidRPr="005F19CB">
        <w:t xml:space="preserve"> Order, the projected costs to be recovered through the ECCR tariff are set based on the </w:t>
      </w:r>
      <w:r w:rsidR="00BA7DB2">
        <w:t xml:space="preserve">ECS </w:t>
      </w:r>
      <w:r w:rsidR="00AB63C1" w:rsidRPr="005F19CB">
        <w:t>approved in the IRP process.</w:t>
      </w:r>
      <w:r w:rsidR="00AB63C1">
        <w:t xml:space="preserve">  Any c</w:t>
      </w:r>
      <w:r w:rsidR="00AB63C1" w:rsidRPr="005F19CB">
        <w:t xml:space="preserve">hanges in </w:t>
      </w:r>
      <w:r w:rsidR="00AB63C1">
        <w:t xml:space="preserve">projected </w:t>
      </w:r>
      <w:r w:rsidR="00AB63C1" w:rsidRPr="005F19CB">
        <w:t>cost</w:t>
      </w:r>
      <w:r w:rsidR="00AB63C1">
        <w:t>s</w:t>
      </w:r>
      <w:r w:rsidR="00AB63C1" w:rsidRPr="005F19CB">
        <w:t xml:space="preserve"> will not impact the ECCR tariff rate </w:t>
      </w:r>
      <w:r w:rsidR="00AB63C1">
        <w:t>as proposed by the Company</w:t>
      </w:r>
      <w:r w:rsidR="000363FA">
        <w:t xml:space="preserve"> and</w:t>
      </w:r>
      <w:r w:rsidR="00AB63C1">
        <w:t xml:space="preserve"> </w:t>
      </w:r>
      <w:r w:rsidR="00CC355B">
        <w:t xml:space="preserve">the </w:t>
      </w:r>
      <w:r w:rsidR="00AB63C1">
        <w:t xml:space="preserve">ECCR tariff rate will remain stable during the term of the ARP.  </w:t>
      </w:r>
    </w:p>
    <w:p w14:paraId="1E32B8E7" w14:textId="5DFC5366" w:rsidR="007E53A1" w:rsidRDefault="007E53A1" w:rsidP="007E53A1">
      <w:pPr>
        <w:pStyle w:val="BodyText"/>
        <w:spacing w:before="0" w:after="0" w:line="360" w:lineRule="auto"/>
        <w:ind w:left="720" w:hanging="720"/>
        <w:rPr>
          <w:b/>
        </w:rPr>
      </w:pPr>
      <w:bookmarkStart w:id="16" w:name="_Hlk11051004"/>
    </w:p>
    <w:p w14:paraId="341864B8" w14:textId="77777777" w:rsidR="00D82138" w:rsidRPr="005F19CB" w:rsidRDefault="00D82138" w:rsidP="007E53A1">
      <w:pPr>
        <w:pStyle w:val="BodyText"/>
        <w:spacing w:before="0" w:after="0" w:line="360" w:lineRule="auto"/>
        <w:ind w:left="720" w:hanging="720"/>
        <w:rPr>
          <w:b/>
        </w:rPr>
      </w:pPr>
    </w:p>
    <w:p w14:paraId="1AEC2D84" w14:textId="5003FD38" w:rsidR="00AB63C1" w:rsidRDefault="009E3EE7" w:rsidP="009E3EE7">
      <w:pPr>
        <w:pStyle w:val="OutlineL1"/>
        <w:numPr>
          <w:ilvl w:val="0"/>
          <w:numId w:val="0"/>
        </w:numPr>
        <w:spacing w:after="0"/>
      </w:pPr>
      <w:bookmarkStart w:id="17" w:name="_Ref11173398"/>
      <w:bookmarkStart w:id="18" w:name="_Toc11174248"/>
      <w:r w:rsidRPr="009E3EE7">
        <w:rPr>
          <w:u w:val="none"/>
        </w:rPr>
        <w:t>VI.</w:t>
      </w:r>
      <w:r>
        <w:rPr>
          <w:u w:val="none"/>
        </w:rPr>
        <w:t xml:space="preserve">      </w:t>
      </w:r>
      <w:r w:rsidR="007E53A1">
        <w:t xml:space="preserve">DEMAND SIDE MANAGEMENT </w:t>
      </w:r>
      <w:r w:rsidR="007E53A1" w:rsidRPr="005F19CB">
        <w:t>TARIFFS</w:t>
      </w:r>
      <w:bookmarkEnd w:id="17"/>
      <w:bookmarkEnd w:id="18"/>
    </w:p>
    <w:p w14:paraId="44162A1B" w14:textId="77777777" w:rsidR="009E3EE7" w:rsidRPr="009E3EE7" w:rsidRDefault="009E3EE7" w:rsidP="009E3EE7">
      <w:pPr>
        <w:pStyle w:val="BodyText"/>
        <w:rPr>
          <w:lang w:eastAsia="en-US"/>
        </w:rPr>
      </w:pPr>
    </w:p>
    <w:p w14:paraId="719AF23F" w14:textId="5F2E9D01" w:rsidR="007E53A1" w:rsidRPr="005F19CB" w:rsidRDefault="007E53A1" w:rsidP="009E3EE7">
      <w:pPr>
        <w:pStyle w:val="BodyText"/>
        <w:spacing w:before="0" w:after="0" w:line="360" w:lineRule="auto"/>
        <w:ind w:left="720" w:hanging="720"/>
        <w:rPr>
          <w:b/>
        </w:rPr>
      </w:pPr>
      <w:bookmarkStart w:id="19" w:name="_Hlk11998996"/>
      <w:bookmarkEnd w:id="16"/>
      <w:r w:rsidRPr="005F19CB">
        <w:rPr>
          <w:b/>
        </w:rPr>
        <w:t>Q.</w:t>
      </w:r>
      <w:r w:rsidRPr="005F19CB">
        <w:rPr>
          <w:b/>
        </w:rPr>
        <w:tab/>
        <w:t>WHAT COSTS ARE TO BE RECOVERED BY THE COMPANY’S PROPOSED DSM TARIFFS?</w:t>
      </w:r>
    </w:p>
    <w:p w14:paraId="1D792B59" w14:textId="011F233E" w:rsidR="007E53A1" w:rsidRDefault="007E53A1">
      <w:pPr>
        <w:pStyle w:val="BodyText"/>
        <w:spacing w:before="0" w:after="0" w:line="360" w:lineRule="auto"/>
        <w:ind w:left="720" w:hanging="720"/>
      </w:pPr>
      <w:r w:rsidRPr="005F19CB">
        <w:t>A.</w:t>
      </w:r>
      <w:r w:rsidRPr="005F19CB">
        <w:tab/>
      </w:r>
      <w:r w:rsidR="004558A6">
        <w:t>T</w:t>
      </w:r>
      <w:r w:rsidRPr="005F19CB">
        <w:t xml:space="preserve">he Company </w:t>
      </w:r>
      <w:r>
        <w:t xml:space="preserve">has </w:t>
      </w:r>
      <w:r w:rsidR="004A1A3A">
        <w:t>included</w:t>
      </w:r>
      <w:r w:rsidRPr="005F19CB">
        <w:t xml:space="preserve"> an increase of $</w:t>
      </w:r>
      <w:r w:rsidRPr="00AD2846">
        <w:t>1</w:t>
      </w:r>
      <w:r>
        <w:t>4</w:t>
      </w:r>
      <w:r w:rsidRPr="005F19CB">
        <w:t xml:space="preserve"> million</w:t>
      </w:r>
      <w:r w:rsidR="004A1A3A">
        <w:t xml:space="preserve">, </w:t>
      </w:r>
      <w:r w:rsidR="004A1A3A" w:rsidRPr="004A1A3A">
        <w:t xml:space="preserve">which reflects </w:t>
      </w:r>
      <w:r w:rsidR="006A6FE3">
        <w:t xml:space="preserve">recovery of </w:t>
      </w:r>
      <w:r w:rsidR="00634914" w:rsidRPr="00634914">
        <w:t xml:space="preserve">prior period under-recovered cost </w:t>
      </w:r>
      <w:r w:rsidR="00634914">
        <w:t xml:space="preserve">and </w:t>
      </w:r>
      <w:r w:rsidR="004A1A3A" w:rsidRPr="004A1A3A">
        <w:t xml:space="preserve">the program costs and Additional Sum filed in the Company’s 2019 DSM </w:t>
      </w:r>
      <w:r w:rsidR="00C013F1">
        <w:t>C</w:t>
      </w:r>
      <w:r w:rsidR="004A1A3A" w:rsidRPr="004A1A3A">
        <w:t>ertification application</w:t>
      </w:r>
      <w:r w:rsidR="004A1A3A">
        <w:t>,</w:t>
      </w:r>
      <w:r w:rsidRPr="004A1A3A">
        <w:t xml:space="preserve"> </w:t>
      </w:r>
      <w:r w:rsidRPr="005F19CB">
        <w:t>to be recovered through the DSM tariffs, effective January 1, 20</w:t>
      </w:r>
      <w:r>
        <w:t>20</w:t>
      </w:r>
      <w:r w:rsidR="00A11554">
        <w:t>, as detailed</w:t>
      </w:r>
      <w:r w:rsidR="004558A6" w:rsidRPr="004558A6">
        <w:t xml:space="preserve"> on Exhibit__</w:t>
      </w:r>
      <w:r w:rsidR="00F5312D" w:rsidRPr="004558A6">
        <w:t>_(</w:t>
      </w:r>
      <w:r w:rsidR="004558A6" w:rsidRPr="004558A6">
        <w:t>DPP/SPA/MBR-1, Schedule 4 DSM).</w:t>
      </w:r>
      <w:r w:rsidR="004558A6">
        <w:t xml:space="preserve">  </w:t>
      </w:r>
    </w:p>
    <w:p w14:paraId="383381E1" w14:textId="64E94518" w:rsidR="00CD49FF" w:rsidRDefault="00CD49FF" w:rsidP="00CD49FF">
      <w:pPr>
        <w:pStyle w:val="BodyText"/>
        <w:spacing w:before="0" w:after="0" w:line="360" w:lineRule="auto"/>
        <w:ind w:left="720" w:hanging="720"/>
        <w:rPr>
          <w:b/>
        </w:rPr>
      </w:pPr>
      <w:r>
        <w:rPr>
          <w:b/>
        </w:rPr>
        <w:lastRenderedPageBreak/>
        <w:t>Q.</w:t>
      </w:r>
      <w:r>
        <w:rPr>
          <w:b/>
        </w:rPr>
        <w:tab/>
        <w:t xml:space="preserve">HOW IS THE COMPANY PROPOSING TO RECOVER REVENUE REQUIREMENTS ASSOCIATED WITH </w:t>
      </w:r>
      <w:r w:rsidR="004A1A3A">
        <w:rPr>
          <w:b/>
        </w:rPr>
        <w:t xml:space="preserve">THE </w:t>
      </w:r>
      <w:r>
        <w:rPr>
          <w:b/>
        </w:rPr>
        <w:t>DSM TARIFF</w:t>
      </w:r>
      <w:r w:rsidR="004A1A3A">
        <w:rPr>
          <w:b/>
        </w:rPr>
        <w:t>S</w:t>
      </w:r>
      <w:r>
        <w:rPr>
          <w:b/>
        </w:rPr>
        <w:t xml:space="preserve">?  </w:t>
      </w:r>
    </w:p>
    <w:p w14:paraId="072E4ACB" w14:textId="2C51ABEF" w:rsidR="00CD49FF" w:rsidRPr="00CD49FF" w:rsidRDefault="00CD49FF" w:rsidP="00CD49FF">
      <w:pPr>
        <w:pStyle w:val="BodyText"/>
        <w:spacing w:before="0" w:after="0" w:line="360" w:lineRule="auto"/>
        <w:ind w:left="720" w:hanging="720"/>
        <w:rPr>
          <w:b/>
        </w:rPr>
      </w:pPr>
      <w:r>
        <w:rPr>
          <w:b/>
        </w:rPr>
        <w:t>A.</w:t>
      </w:r>
      <w:r>
        <w:rPr>
          <w:b/>
        </w:rPr>
        <w:tab/>
      </w:r>
      <w:r w:rsidR="00E21F15">
        <w:t>Consistent with the 2013 Rate Case Order, t</w:t>
      </w:r>
      <w:r w:rsidR="00E21F15" w:rsidRPr="005F19CB">
        <w:t>he proposed DSM tariff</w:t>
      </w:r>
      <w:r w:rsidR="00E21F15">
        <w:t>s</w:t>
      </w:r>
      <w:r w:rsidR="00E21F15" w:rsidRPr="005F19CB">
        <w:t xml:space="preserve"> </w:t>
      </w:r>
      <w:r w:rsidR="00E21F15">
        <w:t xml:space="preserve">will be set to collect program </w:t>
      </w:r>
      <w:r w:rsidR="00E21F15" w:rsidRPr="005F19CB">
        <w:t xml:space="preserve">costs </w:t>
      </w:r>
      <w:r w:rsidR="00E21F15">
        <w:t xml:space="preserve">and Additional Sum approved in the </w:t>
      </w:r>
      <w:r w:rsidR="00E21F15" w:rsidRPr="005F19CB">
        <w:t>Company’s 201</w:t>
      </w:r>
      <w:r w:rsidR="00E21F15">
        <w:t>9</w:t>
      </w:r>
      <w:r w:rsidR="00E21F15" w:rsidRPr="005F19CB">
        <w:t xml:space="preserve"> DSM </w:t>
      </w:r>
      <w:r w:rsidR="00C013F1">
        <w:t>C</w:t>
      </w:r>
      <w:r w:rsidR="00E21F15" w:rsidRPr="005F19CB">
        <w:t xml:space="preserve">ertification </w:t>
      </w:r>
      <w:r w:rsidR="00E21F15">
        <w:t xml:space="preserve">application.  </w:t>
      </w:r>
      <w:r>
        <w:t xml:space="preserve">The Company’s compliance filing in 2020 will reflect what is approved by the Commission in the 2019 DSM </w:t>
      </w:r>
      <w:r w:rsidR="00C013F1">
        <w:t>C</w:t>
      </w:r>
      <w:r>
        <w:t xml:space="preserve">ertification docket. </w:t>
      </w:r>
    </w:p>
    <w:bookmarkEnd w:id="19"/>
    <w:p w14:paraId="4C80B83E" w14:textId="127530F7" w:rsidR="004562C5" w:rsidRDefault="004562C5" w:rsidP="00FB6F63">
      <w:pPr>
        <w:spacing w:line="360" w:lineRule="auto"/>
        <w:ind w:left="720"/>
        <w:jc w:val="both"/>
      </w:pPr>
    </w:p>
    <w:p w14:paraId="34E428A1" w14:textId="77777777" w:rsidR="009E3EE7" w:rsidRPr="005F19CB" w:rsidRDefault="009E3EE7" w:rsidP="00FB6F63">
      <w:pPr>
        <w:spacing w:line="360" w:lineRule="auto"/>
        <w:ind w:left="720"/>
        <w:jc w:val="both"/>
      </w:pPr>
    </w:p>
    <w:p w14:paraId="0129043C" w14:textId="29E7B644" w:rsidR="00623F66" w:rsidRDefault="009E3EE7" w:rsidP="00717991">
      <w:pPr>
        <w:pStyle w:val="OutlineL1"/>
        <w:numPr>
          <w:ilvl w:val="0"/>
          <w:numId w:val="0"/>
        </w:numPr>
        <w:spacing w:after="0"/>
      </w:pPr>
      <w:bookmarkStart w:id="20" w:name="_Ref11173413"/>
      <w:bookmarkStart w:id="21" w:name="_Ref11173596"/>
      <w:bookmarkStart w:id="22" w:name="_Ref11173931"/>
      <w:bookmarkStart w:id="23" w:name="_Toc11174249"/>
      <w:bookmarkStart w:id="24" w:name="_Hlk11051014"/>
      <w:r w:rsidRPr="009E3EE7">
        <w:rPr>
          <w:u w:val="none"/>
        </w:rPr>
        <w:t>VII.</w:t>
      </w:r>
      <w:r w:rsidR="00717991">
        <w:rPr>
          <w:u w:val="none"/>
        </w:rPr>
        <w:t xml:space="preserve">      </w:t>
      </w:r>
      <w:r w:rsidR="007E53A1" w:rsidRPr="005F19CB">
        <w:t>MUNICIPAL FRANCHISE FEE TARIFF</w:t>
      </w:r>
      <w:bookmarkStart w:id="25" w:name="_Hlk9921867"/>
      <w:bookmarkStart w:id="26" w:name="_Hlk9923228"/>
      <w:bookmarkEnd w:id="20"/>
      <w:bookmarkEnd w:id="21"/>
      <w:bookmarkEnd w:id="22"/>
      <w:bookmarkEnd w:id="23"/>
      <w:bookmarkEnd w:id="24"/>
    </w:p>
    <w:p w14:paraId="39480879" w14:textId="77777777" w:rsidR="00717991" w:rsidRPr="00717991" w:rsidRDefault="00717991" w:rsidP="00717991">
      <w:pPr>
        <w:pStyle w:val="BodyText"/>
        <w:rPr>
          <w:lang w:eastAsia="en-US"/>
        </w:rPr>
      </w:pPr>
    </w:p>
    <w:p w14:paraId="1D941FE1" w14:textId="77777777" w:rsidR="007E53A1" w:rsidRPr="005F19CB" w:rsidRDefault="007E53A1" w:rsidP="007E53A1">
      <w:pPr>
        <w:pStyle w:val="BodyText"/>
        <w:spacing w:before="0" w:after="0" w:line="360" w:lineRule="auto"/>
        <w:ind w:left="720" w:hanging="720"/>
        <w:rPr>
          <w:b/>
        </w:rPr>
      </w:pPr>
      <w:r w:rsidRPr="005F19CB">
        <w:rPr>
          <w:b/>
        </w:rPr>
        <w:t>Q.</w:t>
      </w:r>
      <w:r w:rsidRPr="005F19CB">
        <w:rPr>
          <w:b/>
        </w:rPr>
        <w:tab/>
        <w:t>WHAT ARE THE TERMS OF THE CURRENT MFF TARIFF?</w:t>
      </w:r>
    </w:p>
    <w:p w14:paraId="5697C96A" w14:textId="2D565DCF" w:rsidR="007E53A1" w:rsidRDefault="007E53A1" w:rsidP="007E53A1">
      <w:pPr>
        <w:pStyle w:val="BodyText"/>
        <w:spacing w:before="0" w:after="0" w:line="360" w:lineRule="auto"/>
        <w:ind w:left="720" w:hanging="720"/>
      </w:pPr>
      <w:r w:rsidRPr="005F19CB">
        <w:t>A.</w:t>
      </w:r>
      <w:r w:rsidRPr="005F19CB">
        <w:tab/>
        <w:t>In the</w:t>
      </w:r>
      <w:r w:rsidR="006E1A41">
        <w:t xml:space="preserve"> Commission’s final order in Docket No. 25060</w:t>
      </w:r>
      <w:r w:rsidRPr="005F19CB">
        <w:t xml:space="preserve"> </w:t>
      </w:r>
      <w:r w:rsidR="00E621D3">
        <w:t>(“</w:t>
      </w:r>
      <w:r w:rsidRPr="005F19CB">
        <w:t>2007 Rate Case Order</w:t>
      </w:r>
      <w:r w:rsidR="00E621D3">
        <w:t>”)</w:t>
      </w:r>
      <w:r w:rsidRPr="005F19CB">
        <w:t>, the Commission ordered the establishment of the MFF tariff in accordance with the Commission’s Order in Docket No. 21112.  The MFF tariff reflects 50</w:t>
      </w:r>
      <w:r w:rsidR="003E79F4">
        <w:t>%</w:t>
      </w:r>
      <w:r w:rsidRPr="005F19CB">
        <w:t xml:space="preserve"> of MFF revenues being collected from customers located within municipal areas covered by a franchise agreement and 50</w:t>
      </w:r>
      <w:r w:rsidR="003E79F4">
        <w:t>%</w:t>
      </w:r>
      <w:r w:rsidR="003E79F4" w:rsidRPr="005F19CB">
        <w:t xml:space="preserve"> </w:t>
      </w:r>
      <w:r w:rsidRPr="005F19CB">
        <w:t>being collected from all</w:t>
      </w:r>
      <w:r w:rsidR="001A02F7">
        <w:t xml:space="preserve"> </w:t>
      </w:r>
      <w:r w:rsidRPr="005F19CB">
        <w:t>customers, regardless of location.  Because the tariff is a percentage rate and is calculated based on each customer</w:t>
      </w:r>
      <w:r>
        <w:t>’</w:t>
      </w:r>
      <w:r w:rsidRPr="005F19CB">
        <w:t>s total bill before sales taxes are applied, the percentage rate does not have to be changed even if revenues change.</w:t>
      </w:r>
    </w:p>
    <w:bookmarkEnd w:id="25"/>
    <w:p w14:paraId="1816C236" w14:textId="77777777" w:rsidR="007E53A1" w:rsidRPr="005F19CB" w:rsidRDefault="007E53A1" w:rsidP="007E53A1">
      <w:pPr>
        <w:pStyle w:val="BodyText"/>
        <w:spacing w:before="0" w:after="0" w:line="360" w:lineRule="auto"/>
        <w:ind w:left="720" w:hanging="720"/>
      </w:pPr>
    </w:p>
    <w:p w14:paraId="3C25538E" w14:textId="77777777" w:rsidR="007E53A1" w:rsidRPr="005F19CB" w:rsidRDefault="007E53A1" w:rsidP="007E53A1">
      <w:pPr>
        <w:pStyle w:val="BodyText"/>
        <w:spacing w:before="0" w:after="0" w:line="360" w:lineRule="auto"/>
        <w:ind w:left="720" w:hanging="720"/>
        <w:rPr>
          <w:b/>
        </w:rPr>
      </w:pPr>
      <w:r w:rsidRPr="005F19CB">
        <w:rPr>
          <w:b/>
        </w:rPr>
        <w:t>Q.</w:t>
      </w:r>
      <w:r w:rsidRPr="005F19CB">
        <w:rPr>
          <w:b/>
        </w:rPr>
        <w:tab/>
        <w:t>IF THE MFF TARIFF</w:t>
      </w:r>
      <w:r w:rsidR="00F72A13">
        <w:rPr>
          <w:b/>
        </w:rPr>
        <w:t xml:space="preserve"> </w:t>
      </w:r>
      <w:r>
        <w:rPr>
          <w:b/>
        </w:rPr>
        <w:t>IS</w:t>
      </w:r>
      <w:r w:rsidRPr="005F19CB">
        <w:rPr>
          <w:b/>
        </w:rPr>
        <w:t xml:space="preserve"> </w:t>
      </w:r>
      <w:r>
        <w:rPr>
          <w:b/>
        </w:rPr>
        <w:t xml:space="preserve">BASED ON </w:t>
      </w:r>
      <w:r w:rsidRPr="005F19CB">
        <w:rPr>
          <w:b/>
        </w:rPr>
        <w:t>PERCENTAGE RATES, WHAT COULD CAUSE THE MFF TARIFF TO CHANGE?</w:t>
      </w:r>
    </w:p>
    <w:p w14:paraId="7F03426D" w14:textId="3BAEBE93" w:rsidR="007E53A1" w:rsidRDefault="007E53A1" w:rsidP="007E53A1">
      <w:pPr>
        <w:pStyle w:val="BodyText"/>
        <w:spacing w:before="0" w:after="0" w:line="360" w:lineRule="auto"/>
        <w:ind w:left="720" w:hanging="720"/>
      </w:pPr>
      <w:r w:rsidRPr="005F19CB">
        <w:t>A.</w:t>
      </w:r>
      <w:r w:rsidRPr="005F19CB">
        <w:tab/>
        <w:t xml:space="preserve">The primary </w:t>
      </w:r>
      <w:r>
        <w:t>driver</w:t>
      </w:r>
      <w:r w:rsidRPr="005F19CB">
        <w:t xml:space="preserve"> </w:t>
      </w:r>
      <w:r w:rsidR="00E621D3">
        <w:t>that could cause</w:t>
      </w:r>
      <w:r w:rsidR="00E621D3" w:rsidRPr="005F19CB">
        <w:t xml:space="preserve"> </w:t>
      </w:r>
      <w:r w:rsidRPr="005F19CB">
        <w:t xml:space="preserve">the MFF tariff </w:t>
      </w:r>
      <w:r w:rsidR="00E621D3">
        <w:t>to</w:t>
      </w:r>
      <w:r w:rsidRPr="005F19CB">
        <w:t xml:space="preserve"> change from year to year </w:t>
      </w:r>
      <w:r>
        <w:t>is</w:t>
      </w:r>
      <w:r w:rsidRPr="005F19CB">
        <w:t xml:space="preserve"> </w:t>
      </w:r>
      <w:r w:rsidR="00493EFA">
        <w:t xml:space="preserve">the </w:t>
      </w:r>
      <w:r w:rsidR="00CC355B">
        <w:t xml:space="preserve">proportion </w:t>
      </w:r>
      <w:r w:rsidRPr="005F19CB">
        <w:t xml:space="preserve">of revenues collected </w:t>
      </w:r>
      <w:r w:rsidR="00CC355B">
        <w:t xml:space="preserve">from </w:t>
      </w:r>
      <w:r w:rsidRPr="005F19CB">
        <w:t xml:space="preserve">customers receiving service within </w:t>
      </w:r>
      <w:r w:rsidR="00C159D7">
        <w:t>the</w:t>
      </w:r>
      <w:r w:rsidRPr="005F19CB">
        <w:t xml:space="preserve"> municipalit</w:t>
      </w:r>
      <w:r w:rsidR="00CC355B">
        <w:t>ies’</w:t>
      </w:r>
      <w:r w:rsidRPr="005F19CB">
        <w:t xml:space="preserve"> boundaries</w:t>
      </w:r>
      <w:r w:rsidR="001A02F7">
        <w:t xml:space="preserve">.  </w:t>
      </w:r>
      <w:r w:rsidR="00757EA9">
        <w:t xml:space="preserve">The MFF </w:t>
      </w:r>
      <w:r w:rsidR="00F30858">
        <w:t xml:space="preserve">tariff </w:t>
      </w:r>
      <w:r w:rsidR="00757EA9">
        <w:t xml:space="preserve">is designed to recover the amount of franchise fees paid pursuant to our franchise agreements with the </w:t>
      </w:r>
      <w:r w:rsidR="00CC355B">
        <w:t>cities across our service territory</w:t>
      </w:r>
      <w:r w:rsidR="00757EA9">
        <w:t>.  Under those agreements, the cities charge</w:t>
      </w:r>
      <w:r w:rsidR="001A02F7">
        <w:t>,</w:t>
      </w:r>
      <w:r w:rsidR="00757EA9">
        <w:t xml:space="preserve"> and we pay</w:t>
      </w:r>
      <w:r w:rsidR="001A02F7">
        <w:t>,</w:t>
      </w:r>
      <w:r w:rsidR="00757EA9">
        <w:t xml:space="preserve"> 4% of total revenues generated inside the </w:t>
      </w:r>
      <w:r w:rsidR="000440A9">
        <w:t>respective city</w:t>
      </w:r>
      <w:r w:rsidR="00757EA9">
        <w:t xml:space="preserve">, which includes amounts collected from all of the </w:t>
      </w:r>
      <w:r w:rsidR="00AB4F3A">
        <w:t>tariffs</w:t>
      </w:r>
      <w:r w:rsidR="002A3009">
        <w:t>:</w:t>
      </w:r>
      <w:r w:rsidR="00757EA9">
        <w:t xml:space="preserve"> </w:t>
      </w:r>
      <w:r w:rsidR="002A3009">
        <w:t xml:space="preserve">base, </w:t>
      </w:r>
      <w:r w:rsidR="00757EA9">
        <w:t>NCCR, ECCR, DSM</w:t>
      </w:r>
      <w:r w:rsidR="008A7D19">
        <w:t>,</w:t>
      </w:r>
      <w:r w:rsidR="00757EA9">
        <w:t xml:space="preserve"> and </w:t>
      </w:r>
      <w:r w:rsidR="008A7D19">
        <w:t>Fuel Cost Recovery (“</w:t>
      </w:r>
      <w:r w:rsidR="00757EA9">
        <w:t>FCR</w:t>
      </w:r>
      <w:r w:rsidR="008A7D19">
        <w:t>”)</w:t>
      </w:r>
      <w:r w:rsidR="00F5312D">
        <w:t>.</w:t>
      </w:r>
      <w:r w:rsidR="00F5312D" w:rsidRPr="005F19CB">
        <w:t xml:space="preserve">  </w:t>
      </w:r>
      <w:r>
        <w:t>Therefore, a</w:t>
      </w:r>
      <w:r w:rsidRPr="005F19CB">
        <w:t xml:space="preserve">s customer </w:t>
      </w:r>
      <w:r w:rsidRPr="005F19CB">
        <w:lastRenderedPageBreak/>
        <w:t>demographics</w:t>
      </w:r>
      <w:r>
        <w:t xml:space="preserve"> (proportion of electric sales revenues generated inside vs. outside municipalities)</w:t>
      </w:r>
      <w:r w:rsidR="00757EA9">
        <w:t xml:space="preserve"> as well as customer usage patterns</w:t>
      </w:r>
      <w:r w:rsidRPr="005F19CB">
        <w:t xml:space="preserve"> change</w:t>
      </w:r>
      <w:r>
        <w:t xml:space="preserve"> from year to year</w:t>
      </w:r>
      <w:r w:rsidRPr="005F19CB">
        <w:t xml:space="preserve">, so </w:t>
      </w:r>
      <w:r w:rsidR="00757EA9">
        <w:t xml:space="preserve">will our franchise fee payments and </w:t>
      </w:r>
      <w:r w:rsidR="000440A9">
        <w:t xml:space="preserve">so should </w:t>
      </w:r>
      <w:r w:rsidRPr="005F19CB">
        <w:t>the MFF tariff</w:t>
      </w:r>
      <w:r w:rsidR="00F5312D" w:rsidRPr="005F19CB">
        <w:t>.</w:t>
      </w:r>
      <w:r w:rsidR="00F5312D">
        <w:t xml:space="preserve">  </w:t>
      </w:r>
      <w:r w:rsidR="00757EA9">
        <w:t xml:space="preserve">We propose adjusting the MFF </w:t>
      </w:r>
      <w:r w:rsidR="00F30858">
        <w:t xml:space="preserve">tariff </w:t>
      </w:r>
      <w:r w:rsidR="00757EA9">
        <w:t>annually</w:t>
      </w:r>
      <w:r w:rsidR="005C2254">
        <w:t>, if needed,</w:t>
      </w:r>
      <w:r w:rsidR="00757EA9">
        <w:t xml:space="preserve"> </w:t>
      </w:r>
      <w:r w:rsidR="00C159D7">
        <w:t>to align revenues with costs</w:t>
      </w:r>
      <w:r w:rsidR="00757EA9">
        <w:t>.</w:t>
      </w:r>
      <w:r w:rsidRPr="005F19CB">
        <w:t xml:space="preserve"> </w:t>
      </w:r>
    </w:p>
    <w:p w14:paraId="3B18599E" w14:textId="77777777" w:rsidR="007E53A1" w:rsidRPr="005F19CB" w:rsidRDefault="007E53A1" w:rsidP="007E53A1">
      <w:pPr>
        <w:pStyle w:val="BodyText"/>
        <w:spacing w:before="0" w:after="0" w:line="360" w:lineRule="auto"/>
        <w:ind w:left="720" w:hanging="720"/>
      </w:pPr>
    </w:p>
    <w:p w14:paraId="3032CC5B" w14:textId="77777777" w:rsidR="007E53A1" w:rsidRPr="005F19CB" w:rsidRDefault="007E53A1" w:rsidP="007E53A1">
      <w:pPr>
        <w:pStyle w:val="BodyText"/>
        <w:spacing w:before="0" w:after="0" w:line="360" w:lineRule="auto"/>
        <w:ind w:left="720" w:hanging="720"/>
        <w:rPr>
          <w:b/>
        </w:rPr>
      </w:pPr>
      <w:r w:rsidRPr="005F19CB">
        <w:rPr>
          <w:b/>
        </w:rPr>
        <w:t>Q.</w:t>
      </w:r>
      <w:r w:rsidRPr="005F19CB">
        <w:rPr>
          <w:b/>
        </w:rPr>
        <w:tab/>
        <w:t>HAS THERE BEEN A SUBSTANTIAL SHIFT IN REVENUES BETWEEN CUSTOMERS RECEIVING SERVICE WITHIN MUNICIPAL BOUNDARIES AND ALL OTHER CUSTOMERS?</w:t>
      </w:r>
    </w:p>
    <w:p w14:paraId="27D67D40" w14:textId="481E558A" w:rsidR="007E53A1" w:rsidRDefault="007E53A1" w:rsidP="007E53A1">
      <w:pPr>
        <w:pStyle w:val="BodyText"/>
        <w:spacing w:before="0" w:after="0" w:line="360" w:lineRule="auto"/>
        <w:ind w:left="720" w:hanging="720"/>
      </w:pPr>
      <w:r w:rsidRPr="005F19CB">
        <w:t>A.</w:t>
      </w:r>
      <w:r w:rsidRPr="005F19CB">
        <w:tab/>
      </w:r>
      <w:r>
        <w:t>Yes</w:t>
      </w:r>
      <w:r w:rsidR="00F5312D">
        <w:t xml:space="preserve">.  </w:t>
      </w:r>
      <w:r>
        <w:t xml:space="preserve">Since the Company last updated the MFF tariff in the 2016 </w:t>
      </w:r>
      <w:r w:rsidR="00E621D3">
        <w:t>Compliance Filing</w:t>
      </w:r>
      <w:r>
        <w:t>, a number of new municipalities have been incorporated in Georgia Power’s service territory</w:t>
      </w:r>
      <w:r w:rsidR="00F5312D">
        <w:t xml:space="preserve">.  </w:t>
      </w:r>
      <w:r>
        <w:t xml:space="preserve">In addition to the Macon/Bibb and Georgetown/Quitman consolidations at the end of 2014, the city of Tucker was incorporated in 2016 and the cities of South Fulton and Stonecrest were incorporated in 2018.  Evidenced by the new municipalities created in the last few years, the Company expects this trend to continue in its service territory, which will increase the Company’s total franchise fee expense going forward.  </w:t>
      </w:r>
    </w:p>
    <w:p w14:paraId="6A8FD0F2" w14:textId="77777777" w:rsidR="007E53A1" w:rsidRDefault="007E53A1" w:rsidP="007E53A1">
      <w:pPr>
        <w:pStyle w:val="BodyText"/>
        <w:spacing w:before="0" w:after="0" w:line="360" w:lineRule="auto"/>
        <w:ind w:left="720" w:hanging="720"/>
      </w:pPr>
    </w:p>
    <w:p w14:paraId="2A4FC5CF" w14:textId="77777777" w:rsidR="007E53A1" w:rsidRPr="005F19CB" w:rsidRDefault="007E53A1" w:rsidP="007E53A1">
      <w:pPr>
        <w:pStyle w:val="BodyText"/>
        <w:spacing w:before="0" w:after="0" w:line="360" w:lineRule="auto"/>
        <w:ind w:left="720" w:hanging="720"/>
        <w:rPr>
          <w:b/>
        </w:rPr>
      </w:pPr>
      <w:r w:rsidRPr="005F19CB">
        <w:rPr>
          <w:b/>
        </w:rPr>
        <w:t>Q.</w:t>
      </w:r>
      <w:r w:rsidRPr="005F19CB">
        <w:rPr>
          <w:b/>
        </w:rPr>
        <w:tab/>
        <w:t>HOW IS THE COMPANY PROPOSING TO RECOVER REVENUE REQUIREMENTS ASSOCIATED WITH THE MFF TARIFF?</w:t>
      </w:r>
    </w:p>
    <w:p w14:paraId="74E01702" w14:textId="1411C02B" w:rsidR="008E5258" w:rsidRDefault="007E53A1" w:rsidP="008E5258">
      <w:pPr>
        <w:pStyle w:val="BodyText"/>
        <w:spacing w:before="0" w:after="0" w:line="360" w:lineRule="auto"/>
        <w:ind w:left="720" w:hanging="720"/>
      </w:pPr>
      <w:r w:rsidRPr="005F19CB">
        <w:t>A.</w:t>
      </w:r>
      <w:r w:rsidRPr="005F19CB">
        <w:tab/>
      </w:r>
      <w:r w:rsidR="005A5D32" w:rsidRPr="005F19CB">
        <w:t xml:space="preserve">The Company is requesting approval of the </w:t>
      </w:r>
      <w:r w:rsidR="005A5D32" w:rsidRPr="00AD2846">
        <w:t>$1</w:t>
      </w:r>
      <w:r w:rsidR="005A5D32">
        <w:t>7</w:t>
      </w:r>
      <w:r w:rsidR="005A5D32" w:rsidRPr="005F19CB">
        <w:t xml:space="preserve"> million increase shown on Exhibit__</w:t>
      </w:r>
      <w:r w:rsidR="00F5312D" w:rsidRPr="005F19CB">
        <w:t>_(</w:t>
      </w:r>
      <w:r w:rsidR="005A5D32">
        <w:t>DPP/SPA/MBR</w:t>
      </w:r>
      <w:r w:rsidR="005A5D32" w:rsidRPr="005F19CB">
        <w:t xml:space="preserve">-1, Schedule </w:t>
      </w:r>
      <w:r w:rsidR="000363FA">
        <w:t>5</w:t>
      </w:r>
      <w:r w:rsidR="000363FA" w:rsidRPr="005F19CB">
        <w:t xml:space="preserve"> </w:t>
      </w:r>
      <w:r w:rsidR="005A5D32" w:rsidRPr="005F19CB">
        <w:t>MFF) in connection with this proceeding, to be effective January 1, 20</w:t>
      </w:r>
      <w:r w:rsidR="005A5D32">
        <w:t>20</w:t>
      </w:r>
      <w:r w:rsidR="005A5D32" w:rsidRPr="005F19CB">
        <w:t xml:space="preserve">.  </w:t>
      </w:r>
      <w:r w:rsidR="005A5D32">
        <w:t xml:space="preserve">The Company will continue to evaluate changes in the proportionate share of revenues collected within municipalities and, if necessary, file an </w:t>
      </w:r>
      <w:r w:rsidR="005A5D32" w:rsidRPr="005F19CB">
        <w:t xml:space="preserve">update </w:t>
      </w:r>
      <w:r w:rsidR="005A5D32">
        <w:t xml:space="preserve">to </w:t>
      </w:r>
      <w:r w:rsidR="005A5D32" w:rsidRPr="005F19CB">
        <w:t xml:space="preserve">the MFF tariff </w:t>
      </w:r>
      <w:r w:rsidR="005A5D32">
        <w:t xml:space="preserve">by submitting </w:t>
      </w:r>
      <w:r w:rsidR="005A5D32" w:rsidRPr="005F19CB">
        <w:t xml:space="preserve">an annual </w:t>
      </w:r>
      <w:r w:rsidR="005A5D32">
        <w:t xml:space="preserve">filing by </w:t>
      </w:r>
      <w:r w:rsidR="005A5D32" w:rsidRPr="005F19CB">
        <w:t>November 1</w:t>
      </w:r>
      <w:r w:rsidR="005A5D32" w:rsidRPr="0092272E">
        <w:rPr>
          <w:vertAlign w:val="superscript"/>
        </w:rPr>
        <w:t>st</w:t>
      </w:r>
      <w:r w:rsidR="005A5D32">
        <w:t xml:space="preserve"> as provided for in the current MFF tariff</w:t>
      </w:r>
      <w:r w:rsidR="005A5D32" w:rsidRPr="005F19CB">
        <w:t>.</w:t>
      </w:r>
      <w:bookmarkStart w:id="27" w:name="_Ref11173442"/>
      <w:bookmarkStart w:id="28" w:name="_Ref11173768"/>
      <w:bookmarkStart w:id="29" w:name="_Toc11174250"/>
      <w:bookmarkStart w:id="30" w:name="_Hlk11051020"/>
      <w:bookmarkEnd w:id="26"/>
      <w:r w:rsidR="008E5258">
        <w:rPr>
          <w:b/>
        </w:rPr>
        <w:br w:type="page"/>
      </w:r>
    </w:p>
    <w:p w14:paraId="4E3DF975" w14:textId="1EC77F1A" w:rsidR="007E53A1" w:rsidRDefault="00F526A6" w:rsidP="00E67FC2">
      <w:pPr>
        <w:pStyle w:val="OutlineL1"/>
        <w:numPr>
          <w:ilvl w:val="0"/>
          <w:numId w:val="0"/>
        </w:numPr>
        <w:spacing w:after="0" w:line="360" w:lineRule="auto"/>
      </w:pPr>
      <w:r w:rsidRPr="00F526A6">
        <w:rPr>
          <w:u w:val="none"/>
        </w:rPr>
        <w:lastRenderedPageBreak/>
        <w:t>VIII.</w:t>
      </w:r>
      <w:r>
        <w:rPr>
          <w:u w:val="none"/>
        </w:rPr>
        <w:t xml:space="preserve">      </w:t>
      </w:r>
      <w:r w:rsidR="007E53A1" w:rsidRPr="00965267">
        <w:t>REVENUE REQUIREMENT</w:t>
      </w:r>
      <w:bookmarkEnd w:id="27"/>
      <w:bookmarkEnd w:id="28"/>
      <w:bookmarkEnd w:id="29"/>
    </w:p>
    <w:p w14:paraId="6663C56F" w14:textId="77777777" w:rsidR="00F526A6" w:rsidRPr="00F526A6" w:rsidRDefault="00F526A6" w:rsidP="00E67FC2">
      <w:pPr>
        <w:pStyle w:val="BodyText"/>
        <w:spacing w:before="0" w:after="0" w:line="360" w:lineRule="auto"/>
        <w:rPr>
          <w:lang w:eastAsia="en-US"/>
        </w:rPr>
      </w:pPr>
    </w:p>
    <w:bookmarkEnd w:id="30"/>
    <w:p w14:paraId="3A97DDB6" w14:textId="77777777" w:rsidR="007E53A1" w:rsidRPr="005F19CB" w:rsidRDefault="007E53A1" w:rsidP="00E67FC2">
      <w:pPr>
        <w:spacing w:line="360" w:lineRule="auto"/>
        <w:ind w:left="720" w:hanging="720"/>
        <w:jc w:val="both"/>
        <w:rPr>
          <w:b/>
        </w:rPr>
      </w:pPr>
      <w:r w:rsidRPr="005F19CB">
        <w:rPr>
          <w:b/>
        </w:rPr>
        <w:t>Q.</w:t>
      </w:r>
      <w:r w:rsidRPr="005F19CB">
        <w:rPr>
          <w:b/>
        </w:rPr>
        <w:tab/>
        <w:t>WHAT PERIODS DOES THE INFORMATION IN THIS FILING COVER?</w:t>
      </w:r>
    </w:p>
    <w:p w14:paraId="6F2171A5" w14:textId="77777777" w:rsidR="007E53A1" w:rsidRDefault="007E53A1" w:rsidP="007E53A1">
      <w:pPr>
        <w:spacing w:line="360" w:lineRule="auto"/>
        <w:ind w:left="720" w:hanging="720"/>
        <w:jc w:val="both"/>
      </w:pPr>
      <w:r w:rsidRPr="005F19CB">
        <w:t>A.</w:t>
      </w:r>
      <w:r w:rsidRPr="005F19CB">
        <w:tab/>
        <w:t>The historical data in this filing is based on the Company’s actual performance for the twelve months ended December 31, 201</w:t>
      </w:r>
      <w:r>
        <w:t>8</w:t>
      </w:r>
      <w:r w:rsidRPr="005F19CB">
        <w:t>.  The projected test period for the traditional revenue requirement is the twelve months ending July 31, 20</w:t>
      </w:r>
      <w:r>
        <w:t>20</w:t>
      </w:r>
      <w:r w:rsidRPr="005F19CB">
        <w:t>.  In addition,</w:t>
      </w:r>
      <w:r w:rsidR="00E621D3" w:rsidRPr="00E621D3">
        <w:t xml:space="preserve"> </w:t>
      </w:r>
      <w:r w:rsidR="00E621D3">
        <w:t>the Company</w:t>
      </w:r>
      <w:r w:rsidR="00E621D3" w:rsidRPr="005F19CB">
        <w:t xml:space="preserve"> ha</w:t>
      </w:r>
      <w:r w:rsidR="00E621D3">
        <w:t>s</w:t>
      </w:r>
      <w:r w:rsidR="00E621D3" w:rsidRPr="005F19CB">
        <w:t xml:space="preserve"> provided projected </w:t>
      </w:r>
      <w:r w:rsidR="00E621D3">
        <w:t xml:space="preserve">data for </w:t>
      </w:r>
      <w:r w:rsidR="00E621D3" w:rsidRPr="005F19CB">
        <w:t>calendar years 20</w:t>
      </w:r>
      <w:r w:rsidR="00E621D3">
        <w:t>20</w:t>
      </w:r>
      <w:r w:rsidR="00E621D3" w:rsidRPr="005F19CB">
        <w:t>, 20</w:t>
      </w:r>
      <w:r w:rsidR="00E621D3">
        <w:t>2</w:t>
      </w:r>
      <w:r w:rsidR="00E621D3" w:rsidRPr="005F19CB">
        <w:t>1</w:t>
      </w:r>
      <w:r w:rsidR="00E621D3">
        <w:t>,</w:t>
      </w:r>
      <w:r w:rsidR="00E621D3" w:rsidRPr="005F19CB">
        <w:t xml:space="preserve"> and 20</w:t>
      </w:r>
      <w:r w:rsidR="00E621D3">
        <w:t>22</w:t>
      </w:r>
      <w:r w:rsidRPr="005F19CB">
        <w:t xml:space="preserve"> to meet the requirements of the 201</w:t>
      </w:r>
      <w:r>
        <w:t>3</w:t>
      </w:r>
      <w:r w:rsidRPr="005F19CB">
        <w:t xml:space="preserve"> Rate Case Order and </w:t>
      </w:r>
      <w:r>
        <w:t xml:space="preserve">the three-year continuance </w:t>
      </w:r>
      <w:r w:rsidR="00E621D3">
        <w:t>of the Merger Order</w:t>
      </w:r>
      <w:r>
        <w:t xml:space="preserve"> and </w:t>
      </w:r>
      <w:r w:rsidRPr="005F19CB">
        <w:t xml:space="preserve">to </w:t>
      </w:r>
      <w:r>
        <w:t>support</w:t>
      </w:r>
      <w:r w:rsidRPr="005F19CB">
        <w:t xml:space="preserve"> the basis for a levelized revenue requirement.</w:t>
      </w:r>
    </w:p>
    <w:p w14:paraId="7111C1AC" w14:textId="77777777" w:rsidR="007E53A1" w:rsidRDefault="007E53A1" w:rsidP="007E53A1">
      <w:pPr>
        <w:spacing w:line="360" w:lineRule="auto"/>
        <w:ind w:left="720" w:hanging="720"/>
        <w:jc w:val="both"/>
        <w:rPr>
          <w:b/>
        </w:rPr>
      </w:pPr>
    </w:p>
    <w:p w14:paraId="513FD1B4" w14:textId="77777777" w:rsidR="007E53A1" w:rsidRPr="005F19CB" w:rsidRDefault="007E53A1" w:rsidP="007E53A1">
      <w:pPr>
        <w:spacing w:line="360" w:lineRule="auto"/>
        <w:ind w:left="720" w:hanging="720"/>
        <w:jc w:val="both"/>
        <w:rPr>
          <w:b/>
        </w:rPr>
      </w:pPr>
      <w:r w:rsidRPr="005F19CB">
        <w:rPr>
          <w:b/>
        </w:rPr>
        <w:t>Q.</w:t>
      </w:r>
      <w:r w:rsidRPr="005F19CB">
        <w:rPr>
          <w:b/>
        </w:rPr>
        <w:tab/>
        <w:t>PLEASE SUMMARIZE THE RESULT OF YOUR REVENUE REQUIREMENT CALCULATIONS FOR THE TRADITIONAL TEST PERIOD ENDING JULY 31, 20</w:t>
      </w:r>
      <w:r>
        <w:rPr>
          <w:b/>
        </w:rPr>
        <w:t>20</w:t>
      </w:r>
      <w:r w:rsidRPr="005F19CB">
        <w:rPr>
          <w:b/>
        </w:rPr>
        <w:t>.</w:t>
      </w:r>
    </w:p>
    <w:p w14:paraId="185CC7BA" w14:textId="26155BA0" w:rsidR="007E53A1" w:rsidRPr="005F19CB" w:rsidRDefault="007E53A1" w:rsidP="007E53A1">
      <w:pPr>
        <w:spacing w:line="360" w:lineRule="auto"/>
        <w:ind w:left="720" w:hanging="720"/>
        <w:jc w:val="both"/>
      </w:pPr>
      <w:r w:rsidRPr="005F19CB">
        <w:t>A.</w:t>
      </w:r>
      <w:r w:rsidRPr="005F19CB">
        <w:tab/>
        <w:t>The revenue requirement calculation in Exhibit__</w:t>
      </w:r>
      <w:r w:rsidR="00F5312D" w:rsidRPr="005F19CB">
        <w:t>_(</w:t>
      </w:r>
      <w:r>
        <w:t>DPP/SPA/MBR</w:t>
      </w:r>
      <w:r w:rsidRPr="005F19CB">
        <w:t xml:space="preserve">-1, Schedule 1 </w:t>
      </w:r>
      <w:r w:rsidR="000363FA">
        <w:t>Total Company</w:t>
      </w:r>
      <w:r w:rsidRPr="005F19CB">
        <w:t xml:space="preserve">) shows a revenue deficiency, excluding MFF, of </w:t>
      </w:r>
      <w:r w:rsidRPr="00AD2846">
        <w:t>$</w:t>
      </w:r>
      <w:r>
        <w:t>195</w:t>
      </w:r>
      <w:r w:rsidRPr="00AD2846">
        <w:t xml:space="preserve"> </w:t>
      </w:r>
      <w:r w:rsidRPr="005F19CB">
        <w:t>million for the period ending July 31, 20</w:t>
      </w:r>
      <w:r>
        <w:t>20</w:t>
      </w:r>
      <w:r w:rsidRPr="005F19CB">
        <w:t xml:space="preserve"> to be collected through the base tariffs.  The jurisdictional allocations are based on an allocated cost-of-service study for the projected test period ending July 31, 20</w:t>
      </w:r>
      <w:r>
        <w:t>20</w:t>
      </w:r>
      <w:r w:rsidRPr="005F19CB">
        <w:t xml:space="preserve"> that Mr. </w:t>
      </w:r>
      <w:r>
        <w:t>Vogt</w:t>
      </w:r>
      <w:r w:rsidRPr="005F19CB">
        <w:t xml:space="preserve"> will discuss in his testimony.  </w:t>
      </w:r>
    </w:p>
    <w:p w14:paraId="3A66DC2C" w14:textId="77777777" w:rsidR="007E53A1" w:rsidRPr="005F19CB" w:rsidRDefault="007E53A1" w:rsidP="007E53A1">
      <w:pPr>
        <w:suppressLineNumbers/>
        <w:spacing w:line="360" w:lineRule="auto"/>
        <w:ind w:left="720" w:hanging="720"/>
        <w:jc w:val="both"/>
        <w:rPr>
          <w:b/>
        </w:rPr>
      </w:pPr>
    </w:p>
    <w:p w14:paraId="17196744" w14:textId="77777777" w:rsidR="007E53A1" w:rsidRPr="005F19CB" w:rsidRDefault="007E53A1" w:rsidP="007E53A1">
      <w:pPr>
        <w:spacing w:line="360" w:lineRule="auto"/>
        <w:ind w:left="720" w:hanging="720"/>
        <w:jc w:val="both"/>
        <w:rPr>
          <w:b/>
        </w:rPr>
      </w:pPr>
      <w:r w:rsidRPr="005F19CB">
        <w:rPr>
          <w:b/>
        </w:rPr>
        <w:t>Q.</w:t>
      </w:r>
      <w:r w:rsidRPr="005F19CB">
        <w:rPr>
          <w:b/>
        </w:rPr>
        <w:tab/>
        <w:t>PLEASE DESCRIBE THE DEVELOPMENT OF THE RETAIL REVENUE DEFICIENCY AMOUNT FOR THE TRADITIONAL TEST PERIOD ENDING JULY 31, 20</w:t>
      </w:r>
      <w:r>
        <w:rPr>
          <w:b/>
        </w:rPr>
        <w:t>20</w:t>
      </w:r>
      <w:r w:rsidRPr="005F19CB">
        <w:rPr>
          <w:b/>
        </w:rPr>
        <w:t>.</w:t>
      </w:r>
    </w:p>
    <w:p w14:paraId="449B6907" w14:textId="77777777" w:rsidR="007E53A1" w:rsidRDefault="007E53A1" w:rsidP="007E53A1">
      <w:pPr>
        <w:spacing w:line="360" w:lineRule="auto"/>
        <w:ind w:left="720" w:hanging="720"/>
        <w:jc w:val="both"/>
      </w:pPr>
      <w:r w:rsidRPr="005F19CB">
        <w:t>A.</w:t>
      </w:r>
      <w:r w:rsidRPr="005F19CB">
        <w:tab/>
        <w:t xml:space="preserve">Revenue collected from customers must cover all costs of service, including </w:t>
      </w:r>
      <w:r>
        <w:t>O&amp;M</w:t>
      </w:r>
      <w:r w:rsidRPr="005F19CB">
        <w:t xml:space="preserve"> expenses, taxes, depreciation, and the cost of capital, including an appropriate ROE.  </w:t>
      </w:r>
      <w:r>
        <w:t xml:space="preserve">Retail rates must be sufficient to </w:t>
      </w:r>
      <w:r w:rsidRPr="005F19CB">
        <w:t xml:space="preserve">satisfy the interest requirements of </w:t>
      </w:r>
      <w:r>
        <w:t>the Company’s</w:t>
      </w:r>
      <w:r w:rsidRPr="005F19CB">
        <w:t xml:space="preserve"> debt</w:t>
      </w:r>
      <w:r w:rsidR="00F9289A">
        <w:t>,</w:t>
      </w:r>
      <w:r w:rsidRPr="005F19CB">
        <w:t xml:space="preserve"> while providing </w:t>
      </w:r>
      <w:r>
        <w:t xml:space="preserve">an opportunity for </w:t>
      </w:r>
      <w:r w:rsidRPr="005F19CB">
        <w:t xml:space="preserve">a fair </w:t>
      </w:r>
      <w:r>
        <w:t xml:space="preserve">and reasonable </w:t>
      </w:r>
      <w:r w:rsidRPr="005F19CB">
        <w:t xml:space="preserve">return on common equity invested.  These cost of capital requirements are weighted by the mix of long-term debt and common equity, and reflect certain Commission rate making adjustments, to produce an overall </w:t>
      </w:r>
      <w:r w:rsidRPr="005F19CB">
        <w:lastRenderedPageBreak/>
        <w:t>required retail rate of return.  This rate of return is then applied to the retail rate base to yield the Company’s retail earnings requirement.</w:t>
      </w:r>
    </w:p>
    <w:p w14:paraId="19191CC5" w14:textId="77777777" w:rsidR="007E53A1" w:rsidRDefault="007E53A1" w:rsidP="007E53A1">
      <w:pPr>
        <w:spacing w:line="360" w:lineRule="auto"/>
        <w:ind w:left="720" w:hanging="720"/>
        <w:jc w:val="both"/>
      </w:pPr>
    </w:p>
    <w:p w14:paraId="73716244" w14:textId="6B023CA5" w:rsidR="007E53A1" w:rsidRDefault="007E53A1" w:rsidP="007E53A1">
      <w:pPr>
        <w:spacing w:line="360" w:lineRule="auto"/>
        <w:ind w:left="720" w:hanging="720"/>
        <w:jc w:val="both"/>
      </w:pPr>
      <w:r w:rsidRPr="005F19CB">
        <w:tab/>
      </w:r>
      <w:r w:rsidR="00F5769F" w:rsidRPr="005F19CB">
        <w:t xml:space="preserve">The retail earnings requirement is then compared to earnings projected under the Company’s </w:t>
      </w:r>
      <w:r w:rsidR="00F5769F">
        <w:t xml:space="preserve">current </w:t>
      </w:r>
      <w:r w:rsidR="00F5769F" w:rsidRPr="005F19CB">
        <w:t xml:space="preserve">base rates to determine the amount of retail earnings deficiency during the test period.  This earnings deficiency is then adjusted to cover </w:t>
      </w:r>
      <w:r w:rsidR="00F5769F">
        <w:t xml:space="preserve">income taxes </w:t>
      </w:r>
      <w:r w:rsidR="00F5769F" w:rsidRPr="005F19CB">
        <w:t xml:space="preserve">by using an “income expansion factor.”  This factor, </w:t>
      </w:r>
      <w:r w:rsidR="00F5769F" w:rsidRPr="00D43890">
        <w:t>74.602</w:t>
      </w:r>
      <w:r w:rsidR="00F5769F">
        <w:t>%</w:t>
      </w:r>
      <w:r w:rsidR="00F5769F" w:rsidRPr="005F19CB">
        <w:t xml:space="preserve">, reflects a </w:t>
      </w:r>
      <w:r w:rsidR="00F5769F">
        <w:t>f</w:t>
      </w:r>
      <w:r w:rsidR="00F5769F" w:rsidRPr="005F19CB">
        <w:t xml:space="preserve">ederal income tax rate of </w:t>
      </w:r>
      <w:r w:rsidR="00F5769F">
        <w:t>21%</w:t>
      </w:r>
      <w:r w:rsidR="00F5769F" w:rsidRPr="005F19CB">
        <w:t xml:space="preserve"> and a </w:t>
      </w:r>
      <w:r w:rsidR="00F5769F">
        <w:t>s</w:t>
      </w:r>
      <w:r w:rsidR="00F5769F" w:rsidRPr="005F19CB">
        <w:t xml:space="preserve">tate income tax rate of </w:t>
      </w:r>
      <w:r w:rsidR="00F5769F">
        <w:t>5.75%</w:t>
      </w:r>
      <w:r w:rsidR="00F5769F" w:rsidRPr="005F19CB">
        <w:t xml:space="preserve">.  The income expansion factor </w:t>
      </w:r>
      <w:r w:rsidR="00F5769F">
        <w:t xml:space="preserve">also </w:t>
      </w:r>
      <w:r w:rsidR="00F5769F" w:rsidRPr="005F19CB">
        <w:t xml:space="preserve">includes a reduction for uncollectible accounts, slightly offset by </w:t>
      </w:r>
      <w:r w:rsidR="00F5769F">
        <w:t xml:space="preserve">compensation for collection of </w:t>
      </w:r>
      <w:r w:rsidR="00F5769F" w:rsidRPr="005F19CB">
        <w:t>sales tax.  The retail earnings deficiency is then divided by the income expansion factor to determine the total revenue deficiency from retail customers</w:t>
      </w:r>
      <w:r w:rsidR="00F5769F">
        <w:t>,</w:t>
      </w:r>
      <w:r w:rsidR="00F5769F" w:rsidRPr="005F19CB">
        <w:t xml:space="preserve"> excluding MFF.</w:t>
      </w:r>
    </w:p>
    <w:p w14:paraId="5FD3CD74" w14:textId="77777777" w:rsidR="007E53A1" w:rsidRPr="005F19CB" w:rsidRDefault="007E53A1" w:rsidP="007E53A1">
      <w:pPr>
        <w:spacing w:line="360" w:lineRule="auto"/>
        <w:ind w:left="720" w:hanging="720"/>
        <w:jc w:val="both"/>
      </w:pPr>
    </w:p>
    <w:p w14:paraId="5B7DB3A1" w14:textId="43C94F86" w:rsidR="007E53A1" w:rsidRDefault="007E53A1" w:rsidP="007E53A1">
      <w:pPr>
        <w:spacing w:line="360" w:lineRule="auto"/>
        <w:ind w:left="720" w:hanging="720"/>
        <w:jc w:val="both"/>
        <w:rPr>
          <w:b/>
        </w:rPr>
      </w:pPr>
      <w:r w:rsidRPr="005F19CB">
        <w:tab/>
        <w:t>The computation of the income expansion factor is shown in Exhibit__</w:t>
      </w:r>
      <w:r w:rsidR="00F5312D" w:rsidRPr="005F19CB">
        <w:t>_(</w:t>
      </w:r>
      <w:r>
        <w:t>DPP/SPA/MBR</w:t>
      </w:r>
      <w:r w:rsidRPr="005F19CB">
        <w:t xml:space="preserve">-1, Schedule 1 </w:t>
      </w:r>
      <w:r w:rsidR="00D43890">
        <w:t>Total Company</w:t>
      </w:r>
      <w:r w:rsidRPr="005F19CB">
        <w:t>), page 2</w:t>
      </w:r>
      <w:r w:rsidRPr="00A46379">
        <w:t>.</w:t>
      </w:r>
    </w:p>
    <w:p w14:paraId="00611530" w14:textId="77777777" w:rsidR="007E53A1" w:rsidRDefault="007E53A1" w:rsidP="007E53A1">
      <w:pPr>
        <w:spacing w:line="360" w:lineRule="auto"/>
        <w:ind w:left="720" w:hanging="720"/>
        <w:jc w:val="both"/>
        <w:rPr>
          <w:b/>
        </w:rPr>
      </w:pPr>
    </w:p>
    <w:p w14:paraId="277682EB" w14:textId="77777777" w:rsidR="007E53A1" w:rsidRPr="005F19CB" w:rsidRDefault="007E53A1" w:rsidP="007E53A1">
      <w:pPr>
        <w:spacing w:line="360" w:lineRule="auto"/>
        <w:ind w:left="720" w:hanging="720"/>
        <w:jc w:val="both"/>
        <w:rPr>
          <w:b/>
        </w:rPr>
      </w:pPr>
      <w:r w:rsidRPr="005F19CB">
        <w:rPr>
          <w:b/>
        </w:rPr>
        <w:t>Q.</w:t>
      </w:r>
      <w:r w:rsidRPr="005F19CB">
        <w:rPr>
          <w:b/>
        </w:rPr>
        <w:tab/>
        <w:t xml:space="preserve">WHAT IS THE SOURCE OF THE PROJECTED </w:t>
      </w:r>
      <w:r>
        <w:rPr>
          <w:b/>
        </w:rPr>
        <w:t>COSTS</w:t>
      </w:r>
      <w:r w:rsidRPr="005F19CB">
        <w:rPr>
          <w:b/>
        </w:rPr>
        <w:t xml:space="preserve"> USED IN THE FILING?</w:t>
      </w:r>
    </w:p>
    <w:p w14:paraId="2C332C78" w14:textId="56EA2014" w:rsidR="008E5258" w:rsidRPr="008E5258" w:rsidRDefault="007E53A1" w:rsidP="008E5258">
      <w:pPr>
        <w:spacing w:line="360" w:lineRule="auto"/>
        <w:ind w:left="720" w:hanging="720"/>
        <w:jc w:val="both"/>
      </w:pPr>
      <w:r w:rsidRPr="005F19CB">
        <w:t>A.</w:t>
      </w:r>
      <w:r w:rsidRPr="005F19CB">
        <w:tab/>
      </w:r>
      <w:r w:rsidR="00F5769F" w:rsidRPr="005F19CB">
        <w:t xml:space="preserve">The projected </w:t>
      </w:r>
      <w:r w:rsidR="00F5769F">
        <w:t>costs</w:t>
      </w:r>
      <w:r w:rsidR="00F5769F" w:rsidRPr="005F19CB">
        <w:t xml:space="preserve"> used to calculate the revenue deficiency and rate base come from the Company’s 201</w:t>
      </w:r>
      <w:r w:rsidR="00F5769F">
        <w:t>9</w:t>
      </w:r>
      <w:r w:rsidR="00F5769F" w:rsidRPr="005F19CB">
        <w:t xml:space="preserve"> Annual Budget.  The preparation of the Company’s annual budget is a cyclical process of planning, resource identification, review, revision and approval.  The process involves all functional areas throughout the Company.  </w:t>
      </w:r>
      <w:r w:rsidR="00F5769F">
        <w:t>T</w:t>
      </w:r>
      <w:r w:rsidR="00F5769F" w:rsidRPr="005F19CB">
        <w:t xml:space="preserve">his process results in a comprehensive financial budget, which reflects </w:t>
      </w:r>
      <w:r w:rsidR="00F5769F">
        <w:t>the Company’s</w:t>
      </w:r>
      <w:r w:rsidR="00F5769F" w:rsidRPr="005F19CB">
        <w:t xml:space="preserve"> best estimate of the resources required to </w:t>
      </w:r>
      <w:r w:rsidR="00F5769F">
        <w:t xml:space="preserve">provide clean, safe and reliable electric service and </w:t>
      </w:r>
      <w:r w:rsidR="00F5769F" w:rsidRPr="005F19CB">
        <w:t xml:space="preserve">maintain the level of service our customers expect, while effectively managing costs.  </w:t>
      </w:r>
      <w:r w:rsidR="008E5258">
        <w:rPr>
          <w:b/>
        </w:rPr>
        <w:br w:type="page"/>
      </w:r>
    </w:p>
    <w:p w14:paraId="0A36083C" w14:textId="77777777" w:rsidR="007E53A1" w:rsidRPr="005F19CB" w:rsidRDefault="007E53A1" w:rsidP="007E53A1">
      <w:pPr>
        <w:spacing w:line="360" w:lineRule="auto"/>
        <w:ind w:left="720" w:hanging="720"/>
        <w:jc w:val="both"/>
        <w:rPr>
          <w:b/>
        </w:rPr>
      </w:pPr>
      <w:r w:rsidRPr="005F19CB">
        <w:rPr>
          <w:b/>
        </w:rPr>
        <w:lastRenderedPageBreak/>
        <w:t>Q.</w:t>
      </w:r>
      <w:r w:rsidRPr="005F19CB">
        <w:rPr>
          <w:b/>
        </w:rPr>
        <w:tab/>
        <w:t>WHAT IS THE RETAIL RATE BASE UPON WHICH THE COMPANY IS BASING ITS REVENUE DEFICIENCY FOR THE TRADITIONAL TEST PERIOD ENDING JULY 31, 20</w:t>
      </w:r>
      <w:r>
        <w:rPr>
          <w:b/>
        </w:rPr>
        <w:t>20</w:t>
      </w:r>
      <w:r w:rsidRPr="005F19CB">
        <w:rPr>
          <w:b/>
        </w:rPr>
        <w:t>?</w:t>
      </w:r>
    </w:p>
    <w:p w14:paraId="55E68CFC" w14:textId="090B03C8" w:rsidR="007E53A1" w:rsidRDefault="007E53A1" w:rsidP="007E53A1">
      <w:pPr>
        <w:spacing w:line="360" w:lineRule="auto"/>
        <w:ind w:left="720" w:hanging="720"/>
        <w:jc w:val="both"/>
      </w:pPr>
      <w:r w:rsidRPr="005F19CB">
        <w:t>A.</w:t>
      </w:r>
      <w:r w:rsidRPr="005F19CB">
        <w:tab/>
      </w:r>
      <w:r>
        <w:t>The</w:t>
      </w:r>
      <w:r w:rsidR="00D43890">
        <w:t xml:space="preserve"> projected</w:t>
      </w:r>
      <w:r>
        <w:t xml:space="preserve"> r</w:t>
      </w:r>
      <w:r w:rsidRPr="005F19CB">
        <w:t xml:space="preserve">etail rate base is </w:t>
      </w:r>
      <w:r w:rsidRPr="00D43890">
        <w:t>$20.</w:t>
      </w:r>
      <w:r w:rsidR="00385FA2" w:rsidRPr="00D43890">
        <w:t>1</w:t>
      </w:r>
      <w:r w:rsidRPr="005F19CB">
        <w:t xml:space="preserve"> billion for the period ending July 31, 20</w:t>
      </w:r>
      <w:r>
        <w:t>20</w:t>
      </w:r>
      <w:r w:rsidRPr="005F19CB">
        <w:t xml:space="preserve"> as shown in the revenue deficiency calculation in Exhibit___(</w:t>
      </w:r>
      <w:r>
        <w:t>DPP/SPA/MBR</w:t>
      </w:r>
      <w:r w:rsidRPr="005F19CB">
        <w:t>-1, Schedule 1 T</w:t>
      </w:r>
      <w:r w:rsidR="00D43890">
        <w:t>otal Company</w:t>
      </w:r>
      <w:r w:rsidRPr="005F19CB">
        <w:t>) page 1.</w:t>
      </w:r>
    </w:p>
    <w:p w14:paraId="08BB7951" w14:textId="77777777" w:rsidR="007E53A1" w:rsidRPr="005F19CB" w:rsidRDefault="007E53A1" w:rsidP="007E53A1">
      <w:pPr>
        <w:spacing w:line="360" w:lineRule="auto"/>
        <w:ind w:left="720" w:hanging="720"/>
        <w:jc w:val="both"/>
      </w:pPr>
    </w:p>
    <w:p w14:paraId="1B29BCC5" w14:textId="77777777" w:rsidR="007E53A1" w:rsidRPr="005F19CB" w:rsidRDefault="007E53A1" w:rsidP="007E53A1">
      <w:pPr>
        <w:spacing w:line="360" w:lineRule="auto"/>
        <w:ind w:left="720" w:hanging="720"/>
        <w:jc w:val="both"/>
        <w:rPr>
          <w:b/>
        </w:rPr>
      </w:pPr>
      <w:r w:rsidRPr="005F19CB">
        <w:rPr>
          <w:b/>
        </w:rPr>
        <w:t>Q.</w:t>
      </w:r>
      <w:r w:rsidRPr="005F19CB">
        <w:rPr>
          <w:b/>
        </w:rPr>
        <w:tab/>
        <w:t>WHAT RATE OF RETURN IS APPLIED TO THE RETAIL RATE BASE IN THE REVENUE REQUIREMENT CALCULATION FOR THE TRADITIONAL TEST PERIOD ENDING JULY 31, 20</w:t>
      </w:r>
      <w:r>
        <w:rPr>
          <w:b/>
        </w:rPr>
        <w:t>20</w:t>
      </w:r>
      <w:r w:rsidRPr="005F19CB">
        <w:rPr>
          <w:b/>
        </w:rPr>
        <w:t>?</w:t>
      </w:r>
    </w:p>
    <w:p w14:paraId="2B3B88B7" w14:textId="77777777" w:rsidR="007E53A1" w:rsidRDefault="007E53A1" w:rsidP="007E53A1">
      <w:pPr>
        <w:spacing w:line="360" w:lineRule="auto"/>
        <w:ind w:left="720" w:hanging="720"/>
        <w:jc w:val="both"/>
      </w:pPr>
      <w:r w:rsidRPr="005F19CB">
        <w:t>A.</w:t>
      </w:r>
      <w:r w:rsidRPr="005F19CB">
        <w:tab/>
        <w:t xml:space="preserve">The Company’s </w:t>
      </w:r>
      <w:r>
        <w:t xml:space="preserve">requested </w:t>
      </w:r>
      <w:r w:rsidRPr="005F19CB">
        <w:t xml:space="preserve">overall retail cost of </w:t>
      </w:r>
      <w:r w:rsidRPr="00AC3561">
        <w:t>capital is 7.93</w:t>
      </w:r>
      <w:r w:rsidR="003E79F4">
        <w:t>%</w:t>
      </w:r>
      <w:r w:rsidR="003E79F4" w:rsidRPr="00AC3561">
        <w:t xml:space="preserve"> </w:t>
      </w:r>
      <w:r w:rsidRPr="00AC3561">
        <w:t>for the period ending July 31, 2020, as determined in Exhibit___(DPP/SPA/MBR-3, Schedule 1)</w:t>
      </w:r>
      <w:r w:rsidR="00A069F7">
        <w:t>,</w:t>
      </w:r>
      <w:r>
        <w:t xml:space="preserve"> which </w:t>
      </w:r>
      <w:r w:rsidR="00884956">
        <w:t xml:space="preserve">is </w:t>
      </w:r>
      <w:r>
        <w:t>equal to the overall cost of capital requested in the Company’s 2013 Rate Case</w:t>
      </w:r>
      <w:r w:rsidRPr="00AC3561">
        <w:t xml:space="preserve">, </w:t>
      </w:r>
      <w:r>
        <w:t>but</w:t>
      </w:r>
      <w:r w:rsidRPr="00AC3561">
        <w:t xml:space="preserve"> slightly higher than the 7.71</w:t>
      </w:r>
      <w:r w:rsidR="003E79F4">
        <w:t>%</w:t>
      </w:r>
      <w:r w:rsidR="003E79F4" w:rsidRPr="00AC3561">
        <w:t xml:space="preserve"> </w:t>
      </w:r>
      <w:r>
        <w:t xml:space="preserve">that was </w:t>
      </w:r>
      <w:r w:rsidR="00884956">
        <w:t>approved</w:t>
      </w:r>
      <w:r w:rsidRPr="00AC3561">
        <w:t>.</w:t>
      </w:r>
    </w:p>
    <w:p w14:paraId="25F8A255" w14:textId="77777777" w:rsidR="007E53A1" w:rsidRDefault="007E53A1" w:rsidP="007E53A1">
      <w:pPr>
        <w:spacing w:line="360" w:lineRule="auto"/>
        <w:ind w:left="720" w:hanging="720"/>
        <w:jc w:val="both"/>
      </w:pPr>
    </w:p>
    <w:p w14:paraId="4E786627" w14:textId="77777777" w:rsidR="007E53A1" w:rsidRPr="005F19CB" w:rsidRDefault="007E53A1" w:rsidP="00257674">
      <w:pPr>
        <w:keepNext/>
        <w:spacing w:line="360" w:lineRule="auto"/>
        <w:ind w:left="720" w:hanging="720"/>
        <w:jc w:val="both"/>
        <w:rPr>
          <w:b/>
        </w:rPr>
      </w:pPr>
      <w:r w:rsidRPr="005F19CB">
        <w:rPr>
          <w:b/>
        </w:rPr>
        <w:t>Q.</w:t>
      </w:r>
      <w:r w:rsidRPr="005F19CB">
        <w:rPr>
          <w:b/>
        </w:rPr>
        <w:tab/>
        <w:t>PLEASE DESCRIBE HOW THE COMPANY’S OVERALL COST OF CAPITAL IS DETERMINED.</w:t>
      </w:r>
    </w:p>
    <w:p w14:paraId="7BF3C6BF" w14:textId="77777777" w:rsidR="007E53A1" w:rsidRDefault="007E53A1" w:rsidP="00257674">
      <w:pPr>
        <w:keepNext/>
        <w:spacing w:line="360" w:lineRule="auto"/>
        <w:ind w:left="720" w:hanging="720"/>
        <w:jc w:val="both"/>
      </w:pPr>
      <w:r w:rsidRPr="005F19CB">
        <w:t>A.</w:t>
      </w:r>
      <w:r w:rsidRPr="005F19CB">
        <w:tab/>
        <w:t xml:space="preserve">The Company’s overall cost of capital </w:t>
      </w:r>
      <w:r w:rsidRPr="00D86A27">
        <w:t>of 7.93</w:t>
      </w:r>
      <w:r w:rsidR="003E79F4">
        <w:t xml:space="preserve">% </w:t>
      </w:r>
      <w:r w:rsidRPr="005F19CB">
        <w:t>is based on the 13-month average of the estimated capitalization from July 31, 201</w:t>
      </w:r>
      <w:r>
        <w:t>9</w:t>
      </w:r>
      <w:r w:rsidRPr="005F19CB">
        <w:t xml:space="preserve"> through July 31, 20</w:t>
      </w:r>
      <w:r>
        <w:t>20</w:t>
      </w:r>
      <w:r w:rsidRPr="005F19CB">
        <w:t xml:space="preserve">.  The long-term debt proportion of capitalization </w:t>
      </w:r>
      <w:r>
        <w:t>is</w:t>
      </w:r>
      <w:r w:rsidRPr="005F19CB">
        <w:t xml:space="preserve"> multiplied by </w:t>
      </w:r>
      <w:r>
        <w:t>its</w:t>
      </w:r>
      <w:r w:rsidRPr="005F19CB">
        <w:t xml:space="preserve"> average estimated embedded cost for each month through July 31, 20</w:t>
      </w:r>
      <w:r>
        <w:t>20</w:t>
      </w:r>
      <w:r w:rsidRPr="005F19CB">
        <w:t xml:space="preserve">.  The required return on common equity of </w:t>
      </w:r>
      <w:r>
        <w:t>10.9</w:t>
      </w:r>
      <w:r w:rsidR="001D3829">
        <w:t>0</w:t>
      </w:r>
      <w:r>
        <w:t>%</w:t>
      </w:r>
      <w:r w:rsidRPr="005F19CB">
        <w:t xml:space="preserve"> is described by Dr. Vander Weide in his testimony.  Exhibit___(</w:t>
      </w:r>
      <w:r>
        <w:t>DPP/SPA/MBR</w:t>
      </w:r>
      <w:r w:rsidRPr="005F19CB">
        <w:t xml:space="preserve">-3, Schedule 1) shows the capital structure components for the test </w:t>
      </w:r>
      <w:r>
        <w:t>period</w:t>
      </w:r>
      <w:r w:rsidRPr="005F19CB">
        <w:t>, together with associated costs.</w:t>
      </w:r>
    </w:p>
    <w:p w14:paraId="521C92C2" w14:textId="77777777" w:rsidR="007E53A1" w:rsidRPr="005F19CB" w:rsidRDefault="007E53A1" w:rsidP="007E53A1">
      <w:pPr>
        <w:spacing w:line="360" w:lineRule="auto"/>
        <w:ind w:left="720" w:hanging="720"/>
        <w:jc w:val="both"/>
      </w:pPr>
    </w:p>
    <w:p w14:paraId="2D37029B" w14:textId="09ACE53D" w:rsidR="007E53A1" w:rsidRPr="005F19CB" w:rsidRDefault="007E53A1" w:rsidP="007E53A1">
      <w:pPr>
        <w:spacing w:line="360" w:lineRule="auto"/>
        <w:ind w:left="720" w:hanging="720"/>
        <w:jc w:val="both"/>
        <w:rPr>
          <w:b/>
        </w:rPr>
      </w:pPr>
      <w:r w:rsidRPr="005F19CB">
        <w:rPr>
          <w:b/>
        </w:rPr>
        <w:t>Q.</w:t>
      </w:r>
      <w:r w:rsidRPr="005F19CB">
        <w:rPr>
          <w:b/>
        </w:rPr>
        <w:tab/>
        <w:t xml:space="preserve">HOW HAS THE COMPANY PRESENTED THE REVENUE REQUIREMENT CALCULATIONS FOR THE </w:t>
      </w:r>
      <w:r w:rsidR="00B0226F">
        <w:rPr>
          <w:b/>
        </w:rPr>
        <w:t>THREE-YEAR</w:t>
      </w:r>
      <w:r w:rsidR="00013ADC">
        <w:rPr>
          <w:b/>
        </w:rPr>
        <w:t xml:space="preserve"> </w:t>
      </w:r>
      <w:r w:rsidRPr="005F19CB">
        <w:rPr>
          <w:b/>
        </w:rPr>
        <w:t>PERIOD</w:t>
      </w:r>
      <w:r w:rsidR="00013ADC">
        <w:rPr>
          <w:b/>
        </w:rPr>
        <w:t xml:space="preserve"> IDENTIFIED IN THE PROPOSED ARP</w:t>
      </w:r>
      <w:r w:rsidRPr="005F19CB">
        <w:rPr>
          <w:b/>
        </w:rPr>
        <w:t>?</w:t>
      </w:r>
    </w:p>
    <w:p w14:paraId="326BBDE4" w14:textId="72507AB5" w:rsidR="005128BF" w:rsidRDefault="007E53A1" w:rsidP="007E53A1">
      <w:pPr>
        <w:spacing w:line="360" w:lineRule="auto"/>
        <w:ind w:left="720" w:hanging="720"/>
        <w:jc w:val="both"/>
      </w:pPr>
      <w:r w:rsidRPr="005F19CB">
        <w:t>A.</w:t>
      </w:r>
      <w:r w:rsidRPr="005F19CB">
        <w:tab/>
        <w:t xml:space="preserve">The </w:t>
      </w:r>
      <w:r w:rsidR="00884956" w:rsidRPr="005F19CB">
        <w:t xml:space="preserve">attached </w:t>
      </w:r>
      <w:r w:rsidRPr="005F19CB">
        <w:t>exhibits focus on the test period ending July 31, 20</w:t>
      </w:r>
      <w:r>
        <w:t>20</w:t>
      </w:r>
      <w:r w:rsidRPr="005F19CB">
        <w:t>, as required in the Commission’s 201</w:t>
      </w:r>
      <w:r>
        <w:t>3</w:t>
      </w:r>
      <w:r w:rsidRPr="005F19CB">
        <w:t xml:space="preserve"> Rate Case Order</w:t>
      </w:r>
      <w:r>
        <w:t xml:space="preserve"> and three-year continuance </w:t>
      </w:r>
      <w:r w:rsidR="00891EE6">
        <w:t xml:space="preserve">provided for in the </w:t>
      </w:r>
      <w:r w:rsidR="00891EE6">
        <w:lastRenderedPageBreak/>
        <w:t>Merger Order</w:t>
      </w:r>
      <w:r w:rsidRPr="005F19CB">
        <w:t>.  The Company has also filed revenue requirement information for the calendar years 20</w:t>
      </w:r>
      <w:r>
        <w:t>20</w:t>
      </w:r>
      <w:r w:rsidRPr="005F19CB">
        <w:t>, 20</w:t>
      </w:r>
      <w:r>
        <w:t>2</w:t>
      </w:r>
      <w:r w:rsidRPr="005F19CB">
        <w:t>1</w:t>
      </w:r>
      <w:r>
        <w:t>,</w:t>
      </w:r>
      <w:r w:rsidRPr="005F19CB">
        <w:t xml:space="preserve"> and 20</w:t>
      </w:r>
      <w:r>
        <w:t>22</w:t>
      </w:r>
      <w:r w:rsidRPr="005F19CB">
        <w:t xml:space="preserve">, </w:t>
      </w:r>
      <w:r>
        <w:t xml:space="preserve">consistent with </w:t>
      </w:r>
      <w:r w:rsidRPr="005F19CB">
        <w:t xml:space="preserve">the </w:t>
      </w:r>
      <w:r>
        <w:t xml:space="preserve">intent of the </w:t>
      </w:r>
      <w:r w:rsidRPr="005F19CB">
        <w:t>201</w:t>
      </w:r>
      <w:r>
        <w:t>3</w:t>
      </w:r>
      <w:r w:rsidRPr="005F19CB">
        <w:t xml:space="preserve"> </w:t>
      </w:r>
      <w:r>
        <w:t xml:space="preserve">Rate Case Order </w:t>
      </w:r>
      <w:r w:rsidR="00884956">
        <w:t xml:space="preserve">and </w:t>
      </w:r>
      <w:r>
        <w:t>in light of the three-year continuance</w:t>
      </w:r>
      <w:r w:rsidRPr="005F19CB">
        <w:t>.  This information is intended to support the Company’s requested adjustment to the test period revenue requirement for those periods.  The 20</w:t>
      </w:r>
      <w:r>
        <w:t>20</w:t>
      </w:r>
      <w:r w:rsidRPr="005F19CB">
        <w:t>, 20</w:t>
      </w:r>
      <w:r>
        <w:t>2</w:t>
      </w:r>
      <w:r w:rsidRPr="005F19CB">
        <w:t>1</w:t>
      </w:r>
      <w:r>
        <w:t>,</w:t>
      </w:r>
      <w:r w:rsidRPr="005F19CB">
        <w:t xml:space="preserve"> and 20</w:t>
      </w:r>
      <w:r>
        <w:t>22</w:t>
      </w:r>
      <w:r w:rsidRPr="005F19CB">
        <w:t xml:space="preserve"> revenue requirements for</w:t>
      </w:r>
      <w:r w:rsidR="001D3829">
        <w:t xml:space="preserve"> traditional base rates including</w:t>
      </w:r>
      <w:r w:rsidRPr="005F19CB">
        <w:t xml:space="preserve"> </w:t>
      </w:r>
      <w:r w:rsidR="003B1854">
        <w:t xml:space="preserve">incremental </w:t>
      </w:r>
      <w:r w:rsidR="00385FA2">
        <w:t xml:space="preserve">ARO </w:t>
      </w:r>
      <w:r w:rsidRPr="005F19CB">
        <w:t xml:space="preserve">costs </w:t>
      </w:r>
      <w:r w:rsidR="00385FA2">
        <w:t>related to CCR compliance</w:t>
      </w:r>
      <w:r w:rsidR="00884956">
        <w:t>,</w:t>
      </w:r>
      <w:r>
        <w:t xml:space="preserve"> </w:t>
      </w:r>
      <w:r w:rsidRPr="005F19CB">
        <w:t>the ECCR</w:t>
      </w:r>
      <w:r w:rsidR="00884956">
        <w:t xml:space="preserve"> tariff,</w:t>
      </w:r>
      <w:r w:rsidRPr="005F19CB">
        <w:t xml:space="preserve"> and </w:t>
      </w:r>
      <w:r w:rsidR="00884956">
        <w:t xml:space="preserve">the </w:t>
      </w:r>
      <w:r w:rsidRPr="005F19CB">
        <w:t>DSM tariffs are shown separately in Exhibit___(</w:t>
      </w:r>
      <w:r>
        <w:t>DPP/SPA/MBR</w:t>
      </w:r>
      <w:r w:rsidRPr="005F19CB">
        <w:t xml:space="preserve">-1, </w:t>
      </w:r>
      <w:r>
        <w:t xml:space="preserve">Schedule 2 Traditional Base), Exhibit___(DPP/SPA/MBR-1, </w:t>
      </w:r>
      <w:r w:rsidRPr="005F19CB">
        <w:t xml:space="preserve">Schedule </w:t>
      </w:r>
      <w:r>
        <w:t>3</w:t>
      </w:r>
      <w:r w:rsidRPr="005F19CB">
        <w:t xml:space="preserve"> ECCR)</w:t>
      </w:r>
      <w:r>
        <w:t>,</w:t>
      </w:r>
      <w:r w:rsidRPr="005F19CB">
        <w:t xml:space="preserve"> and </w:t>
      </w:r>
      <w:r w:rsidRPr="00F52B4A">
        <w:t>Exhibit___(</w:t>
      </w:r>
      <w:r>
        <w:t>DPP/SPA/MBR</w:t>
      </w:r>
      <w:r w:rsidRPr="005F19CB">
        <w:t xml:space="preserve">-1, Schedule </w:t>
      </w:r>
      <w:r>
        <w:t>4</w:t>
      </w:r>
      <w:r w:rsidRPr="005F19CB">
        <w:t xml:space="preserve">, DSM), respectively. </w:t>
      </w:r>
    </w:p>
    <w:p w14:paraId="6A60958A" w14:textId="77777777" w:rsidR="005128BF" w:rsidRDefault="005128BF" w:rsidP="007E53A1">
      <w:pPr>
        <w:spacing w:line="360" w:lineRule="auto"/>
        <w:ind w:left="720" w:hanging="720"/>
        <w:jc w:val="both"/>
      </w:pPr>
    </w:p>
    <w:p w14:paraId="1655B470" w14:textId="77777777" w:rsidR="005128BF" w:rsidRDefault="005128BF" w:rsidP="009B6905">
      <w:pPr>
        <w:spacing w:line="360" w:lineRule="auto"/>
        <w:ind w:left="720" w:hanging="720"/>
        <w:jc w:val="both"/>
        <w:rPr>
          <w:b/>
        </w:rPr>
      </w:pPr>
      <w:r w:rsidRPr="005F19CB">
        <w:rPr>
          <w:b/>
        </w:rPr>
        <w:t>Q.</w:t>
      </w:r>
      <w:r w:rsidRPr="005F19CB">
        <w:rPr>
          <w:b/>
        </w:rPr>
        <w:tab/>
        <w:t>WHY IS THE COMPANY CHOOSING TO BASE THE REVENUE REQUIREMENT</w:t>
      </w:r>
      <w:r>
        <w:rPr>
          <w:b/>
        </w:rPr>
        <w:t>, EXCLUDING THE INCREMENTAL ARO COST</w:t>
      </w:r>
      <w:r w:rsidRPr="005F19CB">
        <w:rPr>
          <w:b/>
        </w:rPr>
        <w:t xml:space="preserve"> </w:t>
      </w:r>
      <w:r>
        <w:rPr>
          <w:b/>
        </w:rPr>
        <w:t xml:space="preserve">FOR CCR COMPLIANCE, </w:t>
      </w:r>
      <w:r w:rsidRPr="005F19CB">
        <w:rPr>
          <w:b/>
        </w:rPr>
        <w:t>ON A TEST PERIOD ENDING JULY 31, 20</w:t>
      </w:r>
      <w:r>
        <w:rPr>
          <w:b/>
        </w:rPr>
        <w:t>20</w:t>
      </w:r>
      <w:r w:rsidRPr="005F19CB">
        <w:rPr>
          <w:b/>
        </w:rPr>
        <w:t xml:space="preserve"> WITH A LEVELIZED ADJUSTMENT FOR CALENDAR YEARS 20</w:t>
      </w:r>
      <w:r>
        <w:rPr>
          <w:b/>
        </w:rPr>
        <w:t>20</w:t>
      </w:r>
      <w:r w:rsidRPr="005F19CB">
        <w:rPr>
          <w:b/>
        </w:rPr>
        <w:t>, 20</w:t>
      </w:r>
      <w:r>
        <w:rPr>
          <w:b/>
        </w:rPr>
        <w:t>2</w:t>
      </w:r>
      <w:r w:rsidRPr="005F19CB">
        <w:rPr>
          <w:b/>
        </w:rPr>
        <w:t>1</w:t>
      </w:r>
      <w:r>
        <w:rPr>
          <w:b/>
        </w:rPr>
        <w:t>,</w:t>
      </w:r>
      <w:r w:rsidRPr="005F19CB">
        <w:rPr>
          <w:b/>
        </w:rPr>
        <w:t xml:space="preserve"> AND 20</w:t>
      </w:r>
      <w:r>
        <w:rPr>
          <w:b/>
        </w:rPr>
        <w:t>22</w:t>
      </w:r>
      <w:r w:rsidRPr="005F19CB">
        <w:rPr>
          <w:b/>
        </w:rPr>
        <w:t>?</w:t>
      </w:r>
    </w:p>
    <w:p w14:paraId="73B256A5" w14:textId="369DB3F6" w:rsidR="008E5258" w:rsidRPr="008E5258" w:rsidRDefault="007E53A1" w:rsidP="008E5258">
      <w:pPr>
        <w:spacing w:line="360" w:lineRule="auto"/>
        <w:ind w:left="720" w:hanging="720"/>
        <w:jc w:val="both"/>
      </w:pPr>
      <w:r w:rsidRPr="005F19CB">
        <w:t>A.</w:t>
      </w:r>
      <w:r w:rsidRPr="005F19CB">
        <w:tab/>
        <w:t xml:space="preserve">There are two </w:t>
      </w:r>
      <w:r w:rsidR="00C16BB5">
        <w:t xml:space="preserve">primary </w:t>
      </w:r>
      <w:r w:rsidRPr="005F19CB">
        <w:t>reasons the Company has chosen to present the requested revenue requirement based on a test period ending July 31, 20</w:t>
      </w:r>
      <w:r>
        <w:t>20</w:t>
      </w:r>
      <w:r w:rsidRPr="005F19CB">
        <w:t xml:space="preserve"> with a levelized adjustment for calendar years 20</w:t>
      </w:r>
      <w:r>
        <w:t>20</w:t>
      </w:r>
      <w:r w:rsidRPr="005F19CB">
        <w:t>, 20</w:t>
      </w:r>
      <w:r>
        <w:t>2</w:t>
      </w:r>
      <w:r w:rsidRPr="005F19CB">
        <w:t>1</w:t>
      </w:r>
      <w:r>
        <w:t>,</w:t>
      </w:r>
      <w:r w:rsidRPr="005F19CB">
        <w:t xml:space="preserve"> and 20</w:t>
      </w:r>
      <w:r>
        <w:t>22</w:t>
      </w:r>
      <w:r w:rsidRPr="005F19CB">
        <w:t xml:space="preserve">.  </w:t>
      </w:r>
      <w:r>
        <w:t>First</w:t>
      </w:r>
      <w:r w:rsidRPr="005F19CB">
        <w:t>, the test period ending July 31, 20</w:t>
      </w:r>
      <w:r>
        <w:t>20</w:t>
      </w:r>
      <w:r w:rsidRPr="005F19CB">
        <w:t xml:space="preserve"> only partially recognizes the increase in rate base and expenses that the Company will incur in the first full year following an approved increase in rates.  By presenting an adjusted revenue requirement for the entire period ending December 31, 20</w:t>
      </w:r>
      <w:r>
        <w:t>20</w:t>
      </w:r>
      <w:r w:rsidRPr="005F19CB">
        <w:t xml:space="preserve">, the Company is demonstrating the </w:t>
      </w:r>
      <w:r>
        <w:t>first full year</w:t>
      </w:r>
      <w:r w:rsidRPr="005F19CB">
        <w:t xml:space="preserve"> revenue </w:t>
      </w:r>
      <w:r>
        <w:t>deficiency</w:t>
      </w:r>
      <w:r w:rsidR="00884956">
        <w:t>,</w:t>
      </w:r>
      <w:r>
        <w:t xml:space="preserve"> </w:t>
      </w:r>
      <w:r w:rsidR="00B0226F">
        <w:t>which mitigates</w:t>
      </w:r>
      <w:r w:rsidR="006E2C6A">
        <w:t xml:space="preserve"> </w:t>
      </w:r>
      <w:r>
        <w:t>the amount of time between incurring the cost and recovering the cost (regulatory lag)</w:t>
      </w:r>
      <w:r w:rsidRPr="005F19CB">
        <w:t>.</w:t>
      </w:r>
      <w:r>
        <w:t xml:space="preserve">  Second</w:t>
      </w:r>
      <w:r w:rsidRPr="005F19CB">
        <w:t>, by using the three calendar years ending December 31, 20</w:t>
      </w:r>
      <w:r>
        <w:t>22</w:t>
      </w:r>
      <w:r w:rsidRPr="005F19CB">
        <w:t xml:space="preserve">, the Company </w:t>
      </w:r>
      <w:r>
        <w:t xml:space="preserve">reflects the annual revenue deficiencies used in </w:t>
      </w:r>
      <w:r w:rsidRPr="005F19CB">
        <w:t xml:space="preserve">determining a levelized revenue requirement in order to provide </w:t>
      </w:r>
      <w:r w:rsidR="003B1854">
        <w:t xml:space="preserve">more </w:t>
      </w:r>
      <w:r w:rsidRPr="005F19CB">
        <w:t xml:space="preserve">stable base rates during the three-year period.  </w:t>
      </w:r>
      <w:r w:rsidR="008E5258">
        <w:rPr>
          <w:b/>
        </w:rPr>
        <w:br w:type="page"/>
      </w:r>
    </w:p>
    <w:p w14:paraId="1BB2FFA4" w14:textId="4BB732DF" w:rsidR="00D515CD" w:rsidRDefault="00F526A6" w:rsidP="00F526A6">
      <w:pPr>
        <w:pStyle w:val="OutlineL1"/>
        <w:numPr>
          <w:ilvl w:val="0"/>
          <w:numId w:val="0"/>
        </w:numPr>
        <w:spacing w:after="0"/>
      </w:pPr>
      <w:bookmarkStart w:id="31" w:name="_Ref11173456"/>
      <w:bookmarkStart w:id="32" w:name="_Toc11174251"/>
      <w:r w:rsidRPr="00F526A6">
        <w:rPr>
          <w:u w:val="none"/>
        </w:rPr>
        <w:lastRenderedPageBreak/>
        <w:t>IX.</w:t>
      </w:r>
      <w:r>
        <w:rPr>
          <w:u w:val="none"/>
        </w:rPr>
        <w:t xml:space="preserve">      </w:t>
      </w:r>
      <w:r w:rsidR="00D515CD" w:rsidRPr="00D515CD">
        <w:t xml:space="preserve">SUMMARY OF PROJECTIONS FOR TEST PERIOD ENDING JULY </w:t>
      </w:r>
      <w:r w:rsidR="009D2A33">
        <w:t>3</w:t>
      </w:r>
      <w:r w:rsidR="00D515CD" w:rsidRPr="00D515CD">
        <w:t>1, 2020</w:t>
      </w:r>
      <w:bookmarkEnd w:id="31"/>
      <w:bookmarkEnd w:id="32"/>
    </w:p>
    <w:p w14:paraId="4E2767A8" w14:textId="77777777" w:rsidR="00F526A6" w:rsidRPr="00F526A6" w:rsidRDefault="00F526A6" w:rsidP="00F526A6">
      <w:pPr>
        <w:pStyle w:val="BodyText"/>
        <w:rPr>
          <w:lang w:eastAsia="en-US"/>
        </w:rPr>
      </w:pPr>
    </w:p>
    <w:p w14:paraId="3D05E842" w14:textId="77777777" w:rsidR="007E53A1" w:rsidRPr="005F19CB" w:rsidRDefault="007E53A1" w:rsidP="007E53A1">
      <w:pPr>
        <w:spacing w:line="360" w:lineRule="auto"/>
        <w:ind w:left="720" w:hanging="720"/>
        <w:jc w:val="both"/>
        <w:rPr>
          <w:b/>
        </w:rPr>
      </w:pPr>
      <w:r w:rsidRPr="005F19CB">
        <w:rPr>
          <w:b/>
        </w:rPr>
        <w:t>Q.</w:t>
      </w:r>
      <w:r w:rsidRPr="005F19CB">
        <w:rPr>
          <w:b/>
        </w:rPr>
        <w:tab/>
        <w:t>PLEASE DESCRIBE THE RATE MAKING ADJUSTMENTS PREVIOUSLY ALLOWED OR REQUIRED BY THE COMMISSION THAT ARE REFLECTED IN THE COMPANY’S REQUESTED REVENUE REQUIREMENTS.</w:t>
      </w:r>
    </w:p>
    <w:p w14:paraId="26ABEFDD" w14:textId="77777777" w:rsidR="007E53A1" w:rsidRPr="005F19CB" w:rsidRDefault="007E53A1" w:rsidP="007E53A1">
      <w:pPr>
        <w:spacing w:line="360" w:lineRule="auto"/>
        <w:ind w:left="720" w:hanging="720"/>
        <w:jc w:val="both"/>
      </w:pPr>
      <w:r w:rsidRPr="005F19CB">
        <w:t>A.</w:t>
      </w:r>
      <w:r w:rsidRPr="005F19CB">
        <w:tab/>
        <w:t xml:space="preserve">The Company has made the following adjustments as reflected in </w:t>
      </w:r>
      <w:r w:rsidRPr="00F52B4A">
        <w:t>Exhibit___(</w:t>
      </w:r>
      <w:r>
        <w:t>DPP/SPA/MBR</w:t>
      </w:r>
      <w:r w:rsidRPr="005F19CB">
        <w:t>-2):</w:t>
      </w:r>
    </w:p>
    <w:p w14:paraId="2D1DBA7E" w14:textId="77777777" w:rsidR="007E53A1" w:rsidRPr="005F19CB" w:rsidRDefault="007E53A1" w:rsidP="00623F66">
      <w:pPr>
        <w:numPr>
          <w:ilvl w:val="0"/>
          <w:numId w:val="1"/>
        </w:numPr>
        <w:spacing w:line="360" w:lineRule="auto"/>
        <w:jc w:val="both"/>
      </w:pPr>
      <w:r w:rsidRPr="005F19CB">
        <w:t>Pursuant to the Commission’s Order in Docket No. 3270, the corporate headquarters lease was reflected as an operating lease rather than as a capital lease.</w:t>
      </w:r>
    </w:p>
    <w:p w14:paraId="68883901" w14:textId="77777777" w:rsidR="007E53A1" w:rsidRPr="005F19CB" w:rsidRDefault="007E53A1" w:rsidP="00623F66">
      <w:pPr>
        <w:numPr>
          <w:ilvl w:val="0"/>
          <w:numId w:val="1"/>
        </w:numPr>
        <w:spacing w:line="360" w:lineRule="auto"/>
        <w:jc w:val="both"/>
      </w:pPr>
      <w:r w:rsidRPr="005F19CB">
        <w:t>Pursuant to the Commission’s Order in Docket No. 3840, institutional and goodwill advertising expenses have been removed from retail expenses.</w:t>
      </w:r>
    </w:p>
    <w:p w14:paraId="4CFFD545" w14:textId="77777777" w:rsidR="007E53A1" w:rsidRPr="005F19CB" w:rsidRDefault="007E53A1" w:rsidP="00623F66">
      <w:pPr>
        <w:numPr>
          <w:ilvl w:val="0"/>
          <w:numId w:val="1"/>
        </w:numPr>
        <w:spacing w:line="360" w:lineRule="auto"/>
        <w:jc w:val="both"/>
      </w:pPr>
      <w:r w:rsidRPr="005F19CB">
        <w:t xml:space="preserve">Pursuant to the Commission’s Order in Docket No. 3840, </w:t>
      </w:r>
      <w:r>
        <w:t>75</w:t>
      </w:r>
      <w:r w:rsidR="003E79F4">
        <w:t>%</w:t>
      </w:r>
      <w:r>
        <w:t xml:space="preserve"> of </w:t>
      </w:r>
      <w:r w:rsidRPr="005F19CB">
        <w:t xml:space="preserve">economy energy profits were </w:t>
      </w:r>
      <w:r>
        <w:t>returned to retail customers through the fuel clause</w:t>
      </w:r>
      <w:r w:rsidRPr="005F19CB">
        <w:t xml:space="preserve"> with 25</w:t>
      </w:r>
      <w:r w:rsidR="005128BF">
        <w:t xml:space="preserve">% </w:t>
      </w:r>
      <w:r w:rsidRPr="005F19CB">
        <w:t>retained by the Company.</w:t>
      </w:r>
    </w:p>
    <w:p w14:paraId="0DA5A637" w14:textId="77777777" w:rsidR="007E53A1" w:rsidRPr="005F19CB" w:rsidRDefault="007E53A1" w:rsidP="00623F66">
      <w:pPr>
        <w:numPr>
          <w:ilvl w:val="0"/>
          <w:numId w:val="1"/>
        </w:numPr>
        <w:spacing w:line="360" w:lineRule="auto"/>
        <w:jc w:val="both"/>
      </w:pPr>
      <w:r w:rsidRPr="005F19CB">
        <w:t xml:space="preserve">Pursuant to the Commission’s Order in Docket No. 18300, </w:t>
      </w:r>
      <w:r>
        <w:t>80</w:t>
      </w:r>
      <w:r w:rsidR="003E79F4">
        <w:t>%</w:t>
      </w:r>
      <w:r>
        <w:t xml:space="preserve"> of </w:t>
      </w:r>
      <w:r w:rsidRPr="005F19CB">
        <w:t xml:space="preserve">profits from </w:t>
      </w:r>
      <w:r>
        <w:t xml:space="preserve">short-term </w:t>
      </w:r>
      <w:r w:rsidRPr="005F19CB">
        <w:t xml:space="preserve">capacity sales were </w:t>
      </w:r>
      <w:r>
        <w:t>returned</w:t>
      </w:r>
      <w:r w:rsidRPr="005F19CB">
        <w:t xml:space="preserve"> to retail </w:t>
      </w:r>
      <w:r>
        <w:t>customers with 20</w:t>
      </w:r>
      <w:r w:rsidR="003E79F4">
        <w:t>%</w:t>
      </w:r>
      <w:r>
        <w:t xml:space="preserve"> retained by the Company</w:t>
      </w:r>
      <w:r w:rsidRPr="005F19CB">
        <w:t>.</w:t>
      </w:r>
    </w:p>
    <w:p w14:paraId="26E63FE8" w14:textId="77777777" w:rsidR="007E53A1" w:rsidRPr="005F19CB" w:rsidRDefault="007E53A1" w:rsidP="00623F66">
      <w:pPr>
        <w:numPr>
          <w:ilvl w:val="0"/>
          <w:numId w:val="1"/>
        </w:numPr>
        <w:spacing w:line="360" w:lineRule="auto"/>
        <w:jc w:val="both"/>
      </w:pPr>
      <w:r>
        <w:t>Pursuant to the Commission’s Order in Docket No. 3673, e</w:t>
      </w:r>
      <w:r w:rsidRPr="005F19CB">
        <w:t xml:space="preserve">xpenses associated with the Nuclear Energy Institute have been excluded from retail </w:t>
      </w:r>
      <w:r>
        <w:t>expenses</w:t>
      </w:r>
      <w:r w:rsidRPr="005F19CB">
        <w:t>.</w:t>
      </w:r>
    </w:p>
    <w:p w14:paraId="6A2E7C66" w14:textId="77777777" w:rsidR="007E53A1" w:rsidRPr="005F19CB" w:rsidRDefault="007E53A1" w:rsidP="00623F66">
      <w:pPr>
        <w:numPr>
          <w:ilvl w:val="0"/>
          <w:numId w:val="1"/>
        </w:numPr>
        <w:spacing w:line="360" w:lineRule="auto"/>
        <w:jc w:val="both"/>
      </w:pPr>
      <w:r>
        <w:t>Wholesale revenues and expenses associated with non-territorial power marketing transactions have been r</w:t>
      </w:r>
      <w:r w:rsidRPr="005F19CB">
        <w:t>emoved from retail</w:t>
      </w:r>
      <w:r>
        <w:t xml:space="preserve"> income</w:t>
      </w:r>
      <w:r w:rsidRPr="005F19CB">
        <w:t>.</w:t>
      </w:r>
    </w:p>
    <w:p w14:paraId="14673C16" w14:textId="4D9508B3" w:rsidR="007E53A1" w:rsidRPr="005F19CB" w:rsidRDefault="007E53A1" w:rsidP="00623F66">
      <w:pPr>
        <w:numPr>
          <w:ilvl w:val="0"/>
          <w:numId w:val="1"/>
        </w:numPr>
        <w:spacing w:line="360" w:lineRule="auto"/>
        <w:jc w:val="both"/>
      </w:pPr>
      <w:r>
        <w:t>Pursuant to the</w:t>
      </w:r>
      <w:r w:rsidRPr="005F19CB">
        <w:t xml:space="preserve"> Commission</w:t>
      </w:r>
      <w:r>
        <w:t>’s</w:t>
      </w:r>
      <w:r w:rsidRPr="005F19CB">
        <w:t xml:space="preserve"> </w:t>
      </w:r>
      <w:r>
        <w:t>O</w:t>
      </w:r>
      <w:r w:rsidRPr="005F19CB">
        <w:t>rders in Docket Nos. 4900, 22528</w:t>
      </w:r>
      <w:r>
        <w:t xml:space="preserve">, </w:t>
      </w:r>
      <w:r w:rsidRPr="005F19CB">
        <w:t>25036</w:t>
      </w:r>
      <w:r>
        <w:t xml:space="preserve">, 37854, and 40161, </w:t>
      </w:r>
      <w:r w:rsidR="003A1B89">
        <w:t xml:space="preserve">the </w:t>
      </w:r>
      <w:r>
        <w:t xml:space="preserve">approved </w:t>
      </w:r>
      <w:r w:rsidR="00B726EF">
        <w:t xml:space="preserve">Additional Sum </w:t>
      </w:r>
      <w:r>
        <w:t>has been added to</w:t>
      </w:r>
      <w:r w:rsidRPr="005F19CB">
        <w:t xml:space="preserve"> expenses for certain </w:t>
      </w:r>
      <w:r w:rsidR="009D0CAB">
        <w:t>PPAs</w:t>
      </w:r>
      <w:r>
        <w:t>.</w:t>
      </w:r>
      <w:r w:rsidRPr="005F19CB">
        <w:t xml:space="preserve"> </w:t>
      </w:r>
    </w:p>
    <w:p w14:paraId="5778C21A" w14:textId="77777777" w:rsidR="007E53A1" w:rsidRPr="005F19CB" w:rsidRDefault="00B726EF" w:rsidP="00623F66">
      <w:pPr>
        <w:numPr>
          <w:ilvl w:val="0"/>
          <w:numId w:val="1"/>
        </w:numPr>
        <w:spacing w:line="360" w:lineRule="auto"/>
        <w:jc w:val="both"/>
      </w:pPr>
      <w:r>
        <w:t>The</w:t>
      </w:r>
      <w:r w:rsidR="007E53A1">
        <w:t xml:space="preserve"> carrying charge on over or under-recovered fuel costs added to revenues</w:t>
      </w:r>
      <w:r>
        <w:t xml:space="preserve"> has been removed</w:t>
      </w:r>
      <w:r w:rsidR="007E53A1">
        <w:t xml:space="preserve"> since they are credited to customers through the fuel clause.</w:t>
      </w:r>
    </w:p>
    <w:p w14:paraId="4EBB3C6E" w14:textId="32641E75" w:rsidR="007E53A1" w:rsidRPr="005F19CB" w:rsidRDefault="007E53A1" w:rsidP="00623F66">
      <w:pPr>
        <w:numPr>
          <w:ilvl w:val="0"/>
          <w:numId w:val="1"/>
        </w:numPr>
        <w:spacing w:line="360" w:lineRule="auto"/>
        <w:jc w:val="both"/>
      </w:pPr>
      <w:r w:rsidRPr="005F19CB">
        <w:t xml:space="preserve">Pursuant to the Commission’s Order in Docket No. 3936, revenues and costs associated with Unregulated Outdoor Lighting have been </w:t>
      </w:r>
      <w:r w:rsidR="00046C42">
        <w:t xml:space="preserve">removed </w:t>
      </w:r>
      <w:r w:rsidRPr="005F19CB">
        <w:t>from retail operations.</w:t>
      </w:r>
    </w:p>
    <w:p w14:paraId="000A31C4" w14:textId="77777777" w:rsidR="007E53A1" w:rsidRPr="005F19CB" w:rsidRDefault="00B726EF" w:rsidP="00623F66">
      <w:pPr>
        <w:numPr>
          <w:ilvl w:val="0"/>
          <w:numId w:val="1"/>
        </w:numPr>
        <w:spacing w:line="360" w:lineRule="auto"/>
        <w:jc w:val="both"/>
      </w:pPr>
      <w:r>
        <w:lastRenderedPageBreak/>
        <w:t>T</w:t>
      </w:r>
      <w:r w:rsidR="007E53A1" w:rsidRPr="005F19CB">
        <w:t>he revenues and expenses related to Municipal Franchise Fees</w:t>
      </w:r>
      <w:r>
        <w:t xml:space="preserve"> have been removed</w:t>
      </w:r>
      <w:r w:rsidR="007E53A1">
        <w:t xml:space="preserve"> as the tariff is calculated separately from retail revenue requirement</w:t>
      </w:r>
      <w:r w:rsidR="007E53A1" w:rsidRPr="005F19CB">
        <w:t>.</w:t>
      </w:r>
    </w:p>
    <w:p w14:paraId="2223CB9A" w14:textId="01C90B9D" w:rsidR="007E53A1" w:rsidRPr="005F19CB" w:rsidRDefault="007E53A1" w:rsidP="00623F66">
      <w:pPr>
        <w:numPr>
          <w:ilvl w:val="0"/>
          <w:numId w:val="1"/>
        </w:numPr>
        <w:spacing w:line="360" w:lineRule="auto"/>
        <w:jc w:val="both"/>
      </w:pPr>
      <w:r w:rsidRPr="005F19CB">
        <w:t>A</w:t>
      </w:r>
      <w:r>
        <w:t xml:space="preserve">ccumulated </w:t>
      </w:r>
      <w:r w:rsidRPr="005F19CB">
        <w:t>D</w:t>
      </w:r>
      <w:r>
        <w:t xml:space="preserve">eferred </w:t>
      </w:r>
      <w:r w:rsidRPr="005F19CB">
        <w:t>I</w:t>
      </w:r>
      <w:r>
        <w:t xml:space="preserve">ncome </w:t>
      </w:r>
      <w:r w:rsidRPr="005F19CB">
        <w:t>T</w:t>
      </w:r>
      <w:r>
        <w:t>axes (“ADIT”)</w:t>
      </w:r>
      <w:r w:rsidRPr="005F19CB">
        <w:t xml:space="preserve"> related to Construction Work In Progress (“CWIP”)</w:t>
      </w:r>
      <w:r w:rsidR="00B726EF">
        <w:t xml:space="preserve"> ha</w:t>
      </w:r>
      <w:r w:rsidR="001608A0">
        <w:t xml:space="preserve">ve </w:t>
      </w:r>
      <w:r w:rsidR="00B726EF">
        <w:t>been removed</w:t>
      </w:r>
      <w:r w:rsidRPr="005F19CB">
        <w:t>.</w:t>
      </w:r>
    </w:p>
    <w:p w14:paraId="52468A8B" w14:textId="77777777" w:rsidR="007E53A1" w:rsidRPr="005F19CB" w:rsidRDefault="00B726EF" w:rsidP="00623F66">
      <w:pPr>
        <w:numPr>
          <w:ilvl w:val="0"/>
          <w:numId w:val="1"/>
        </w:numPr>
        <w:spacing w:line="360" w:lineRule="auto"/>
        <w:jc w:val="both"/>
      </w:pPr>
      <w:r>
        <w:t>I</w:t>
      </w:r>
      <w:r w:rsidR="007E53A1">
        <w:t xml:space="preserve">ncome </w:t>
      </w:r>
      <w:r w:rsidR="007E53A1" w:rsidRPr="005F19CB">
        <w:t>tax expense</w:t>
      </w:r>
      <w:r>
        <w:t xml:space="preserve"> has been adjusted</w:t>
      </w:r>
      <w:r w:rsidR="007E53A1" w:rsidRPr="005F19CB">
        <w:t xml:space="preserve"> to reflect</w:t>
      </w:r>
      <w:r w:rsidR="007E53A1">
        <w:t>, as a tax deduction,</w:t>
      </w:r>
      <w:r w:rsidR="007E53A1" w:rsidRPr="005F19CB">
        <w:t xml:space="preserve"> </w:t>
      </w:r>
      <w:r w:rsidR="007E53A1">
        <w:t xml:space="preserve">only </w:t>
      </w:r>
      <w:r w:rsidR="007E53A1" w:rsidRPr="005F19CB">
        <w:t xml:space="preserve">the interest </w:t>
      </w:r>
      <w:r w:rsidR="007E53A1">
        <w:t>expenses</w:t>
      </w:r>
      <w:r w:rsidR="007E53A1" w:rsidRPr="005F19CB">
        <w:t xml:space="preserve"> </w:t>
      </w:r>
      <w:r w:rsidR="007E53A1">
        <w:t xml:space="preserve">applicable </w:t>
      </w:r>
      <w:r w:rsidR="007E53A1" w:rsidRPr="005F19CB">
        <w:t>to the retail rate base.</w:t>
      </w:r>
    </w:p>
    <w:p w14:paraId="773DD56D" w14:textId="77777777" w:rsidR="007E53A1" w:rsidRPr="005F19CB" w:rsidRDefault="00B726EF" w:rsidP="00623F66">
      <w:pPr>
        <w:numPr>
          <w:ilvl w:val="0"/>
          <w:numId w:val="1"/>
        </w:numPr>
        <w:spacing w:line="360" w:lineRule="auto"/>
        <w:jc w:val="both"/>
      </w:pPr>
      <w:r>
        <w:t>The</w:t>
      </w:r>
      <w:r w:rsidR="007E53A1" w:rsidRPr="005F19CB">
        <w:t xml:space="preserve"> </w:t>
      </w:r>
      <w:r w:rsidR="007E53A1">
        <w:t xml:space="preserve">reserve held by the external trustee for </w:t>
      </w:r>
      <w:r w:rsidR="007E53A1" w:rsidRPr="005F19CB">
        <w:t>nuclear decommissioning</w:t>
      </w:r>
      <w:r>
        <w:t xml:space="preserve"> has been removed</w:t>
      </w:r>
      <w:r w:rsidR="007E53A1" w:rsidRPr="005F19CB">
        <w:t xml:space="preserve"> </w:t>
      </w:r>
      <w:r w:rsidR="007E53A1">
        <w:t xml:space="preserve">from the ARO regulatory liability </w:t>
      </w:r>
      <w:r w:rsidR="007E53A1" w:rsidRPr="005F19CB">
        <w:t>balance.</w:t>
      </w:r>
    </w:p>
    <w:p w14:paraId="1A31BC1F" w14:textId="77777777" w:rsidR="007E53A1" w:rsidRPr="005F19CB" w:rsidRDefault="007E53A1" w:rsidP="00623F66">
      <w:pPr>
        <w:numPr>
          <w:ilvl w:val="0"/>
          <w:numId w:val="1"/>
        </w:numPr>
        <w:spacing w:line="360" w:lineRule="auto"/>
        <w:jc w:val="both"/>
      </w:pPr>
      <w:r>
        <w:t xml:space="preserve">Pursuant to Commission’s Order in Docket No. 3397, </w:t>
      </w:r>
      <w:r w:rsidRPr="005F19CB">
        <w:t xml:space="preserve">nuclear fuel </w:t>
      </w:r>
      <w:r>
        <w:t xml:space="preserve">stock </w:t>
      </w:r>
      <w:r w:rsidRPr="005F19CB">
        <w:t xml:space="preserve">related to Plant Vogtle Units 3 and 4 </w:t>
      </w:r>
      <w:r w:rsidR="00B726EF">
        <w:t>has been r</w:t>
      </w:r>
      <w:r w:rsidR="00B726EF" w:rsidRPr="005F19CB">
        <w:t xml:space="preserve">emoved </w:t>
      </w:r>
      <w:r>
        <w:t xml:space="preserve">from retail rate base and recorded </w:t>
      </w:r>
      <w:r w:rsidR="00922C5E">
        <w:t xml:space="preserve">as </w:t>
      </w:r>
      <w:r>
        <w:t>Allowance for Funds Used During Construction on the related balance</w:t>
      </w:r>
      <w:r w:rsidRPr="005F19CB">
        <w:t xml:space="preserve">.  </w:t>
      </w:r>
    </w:p>
    <w:p w14:paraId="010ABF1E" w14:textId="7994951D" w:rsidR="007E53A1" w:rsidRDefault="007E53A1" w:rsidP="00623F66">
      <w:pPr>
        <w:numPr>
          <w:ilvl w:val="0"/>
          <w:numId w:val="1"/>
        </w:numPr>
        <w:spacing w:line="360" w:lineRule="auto"/>
        <w:jc w:val="both"/>
      </w:pPr>
      <w:r w:rsidRPr="005F19CB">
        <w:t xml:space="preserve">Pursuant to the </w:t>
      </w:r>
      <w:r w:rsidR="008C6013">
        <w:t>Merger Order</w:t>
      </w:r>
      <w:r w:rsidRPr="005F19CB">
        <w:t>,</w:t>
      </w:r>
      <w:r>
        <w:t xml:space="preserve"> retail expenses have been adjusted to reflect 40</w:t>
      </w:r>
      <w:r w:rsidR="003E79F4">
        <w:t>%</w:t>
      </w:r>
      <w:r>
        <w:t xml:space="preserve"> of the Merger Savings related to Southern Company’s acquisition of AGL Resources</w:t>
      </w:r>
      <w:r w:rsidR="00CD1C5A">
        <w:t xml:space="preserve"> (</w:t>
      </w:r>
      <w:r>
        <w:t>now known as Southern Company Gas</w:t>
      </w:r>
      <w:r w:rsidR="00C97ECE">
        <w:t>)</w:t>
      </w:r>
      <w:r>
        <w:t xml:space="preserve"> to be retained by Georgia Power.</w:t>
      </w:r>
    </w:p>
    <w:p w14:paraId="14528AD0" w14:textId="77777777" w:rsidR="007E53A1" w:rsidRDefault="007E53A1" w:rsidP="00623F66">
      <w:pPr>
        <w:numPr>
          <w:ilvl w:val="0"/>
          <w:numId w:val="1"/>
        </w:numPr>
        <w:spacing w:line="360" w:lineRule="auto"/>
        <w:jc w:val="both"/>
      </w:pPr>
      <w:r>
        <w:t>Nuclear Construction Cost Recovery tariff revenues and associated rate base items</w:t>
      </w:r>
      <w:r w:rsidR="00B726EF">
        <w:t xml:space="preserve"> have been removed</w:t>
      </w:r>
      <w:r>
        <w:t>.</w:t>
      </w:r>
    </w:p>
    <w:p w14:paraId="3DA407C9" w14:textId="7F9B423B" w:rsidR="007E53A1" w:rsidRDefault="007E53A1" w:rsidP="00623F66">
      <w:pPr>
        <w:numPr>
          <w:ilvl w:val="0"/>
          <w:numId w:val="1"/>
        </w:numPr>
        <w:spacing w:line="360" w:lineRule="auto"/>
        <w:jc w:val="both"/>
      </w:pPr>
      <w:r>
        <w:t xml:space="preserve">DSM </w:t>
      </w:r>
      <w:r w:rsidR="00B726EF">
        <w:t xml:space="preserve">Additional Sum has been added </w:t>
      </w:r>
      <w:r>
        <w:t xml:space="preserve">to expenses and the carrying charge on over- or under-recovered DSM tariffs to revenues </w:t>
      </w:r>
      <w:r w:rsidR="00B726EF">
        <w:t xml:space="preserve">has been removed </w:t>
      </w:r>
      <w:r>
        <w:t xml:space="preserve">since they are credited to customers through </w:t>
      </w:r>
      <w:r w:rsidR="003E7C4D">
        <w:t>that tariff</w:t>
      </w:r>
      <w:r>
        <w:t xml:space="preserve">. </w:t>
      </w:r>
      <w:r w:rsidR="00B726EF">
        <w:t>T</w:t>
      </w:r>
      <w:r>
        <w:t>he ADITs associated with the DSM over/under-recovery</w:t>
      </w:r>
      <w:r w:rsidR="00B726EF">
        <w:t xml:space="preserve"> have also been removed</w:t>
      </w:r>
      <w:r>
        <w:t>.</w:t>
      </w:r>
    </w:p>
    <w:p w14:paraId="58CB6E2A" w14:textId="77777777" w:rsidR="007E53A1" w:rsidRDefault="007E53A1" w:rsidP="00623F66">
      <w:pPr>
        <w:numPr>
          <w:ilvl w:val="0"/>
          <w:numId w:val="1"/>
        </w:numPr>
        <w:spacing w:line="360" w:lineRule="auto"/>
        <w:jc w:val="both"/>
      </w:pPr>
      <w:r>
        <w:t xml:space="preserve">Pursuant to the Commission’s Order in Docket No. 25060, any shoreline maintenance costs in excess of licensing fees collected from lake lot lessees in association with </w:t>
      </w:r>
      <w:r w:rsidR="007864FC">
        <w:t>Federal Energy Regulatory Commission (“</w:t>
      </w:r>
      <w:r>
        <w:t>FERC</w:t>
      </w:r>
      <w:r w:rsidR="007864FC">
        <w:t>”)</w:t>
      </w:r>
      <w:r>
        <w:t xml:space="preserve"> Boundary Land</w:t>
      </w:r>
      <w:r w:rsidR="00B726EF">
        <w:t xml:space="preserve"> has been</w:t>
      </w:r>
      <w:r w:rsidR="00B726EF" w:rsidRPr="00B726EF">
        <w:t xml:space="preserve"> </w:t>
      </w:r>
      <w:r w:rsidR="00B726EF">
        <w:t>removed</w:t>
      </w:r>
      <w:r>
        <w:t>.</w:t>
      </w:r>
    </w:p>
    <w:p w14:paraId="0F4E3600" w14:textId="77777777" w:rsidR="007E53A1" w:rsidRDefault="007E53A1" w:rsidP="00623F66">
      <w:pPr>
        <w:numPr>
          <w:ilvl w:val="0"/>
          <w:numId w:val="1"/>
        </w:numPr>
        <w:spacing w:line="360" w:lineRule="auto"/>
        <w:jc w:val="both"/>
      </w:pPr>
      <w:r>
        <w:t>Pursuant to the Commission’s Order in Docket No. 25322, 50</w:t>
      </w:r>
      <w:r w:rsidR="003E79F4">
        <w:t>%</w:t>
      </w:r>
      <w:r>
        <w:t xml:space="preserve"> of </w:t>
      </w:r>
      <w:r w:rsidRPr="005F19CB">
        <w:t xml:space="preserve">profits from </w:t>
      </w:r>
      <w:r>
        <w:t>Co-Location Wireless Equipment programs</w:t>
      </w:r>
      <w:r w:rsidRPr="005F19CB">
        <w:t xml:space="preserve"> were </w:t>
      </w:r>
      <w:r>
        <w:t>returned</w:t>
      </w:r>
      <w:r w:rsidRPr="005F19CB">
        <w:t xml:space="preserve"> to retail </w:t>
      </w:r>
      <w:r>
        <w:t>customers with 50</w:t>
      </w:r>
      <w:r w:rsidR="003E79F4">
        <w:t>%</w:t>
      </w:r>
      <w:r>
        <w:t xml:space="preserve"> retained by the Company</w:t>
      </w:r>
      <w:r w:rsidRPr="005F19CB">
        <w:t>.</w:t>
      </w:r>
    </w:p>
    <w:p w14:paraId="467A5153" w14:textId="77777777" w:rsidR="007E53A1" w:rsidRDefault="007E53A1" w:rsidP="00623F66">
      <w:pPr>
        <w:numPr>
          <w:ilvl w:val="0"/>
          <w:numId w:val="1"/>
        </w:numPr>
        <w:spacing w:line="360" w:lineRule="auto"/>
        <w:jc w:val="both"/>
      </w:pPr>
      <w:r>
        <w:lastRenderedPageBreak/>
        <w:t xml:space="preserve">Pursuant to the Commission’s Order in Docket No. 26550, </w:t>
      </w:r>
      <w:r w:rsidR="003A1B89">
        <w:t xml:space="preserve">the </w:t>
      </w:r>
      <w:r>
        <w:t xml:space="preserve">market differential adjustment was applied to retail revenues relating to certain wholesale assets transferred to retail rate base. </w:t>
      </w:r>
    </w:p>
    <w:p w14:paraId="5D8EC740" w14:textId="77777777" w:rsidR="007E53A1" w:rsidRDefault="003A1B89" w:rsidP="00623F66">
      <w:pPr>
        <w:numPr>
          <w:ilvl w:val="0"/>
          <w:numId w:val="1"/>
        </w:numPr>
        <w:spacing w:line="360" w:lineRule="auto"/>
        <w:jc w:val="both"/>
      </w:pPr>
      <w:r>
        <w:t>The</w:t>
      </w:r>
      <w:r w:rsidR="007E53A1">
        <w:t xml:space="preserve"> interest portion of the capacity payments associated with the West Georgia and Dahlberg capital lease PPAs</w:t>
      </w:r>
      <w:r>
        <w:t xml:space="preserve"> was removed</w:t>
      </w:r>
      <w:r w:rsidR="007E53A1">
        <w:t>.</w:t>
      </w:r>
    </w:p>
    <w:p w14:paraId="497EC3E2" w14:textId="77777777" w:rsidR="008B0C6A" w:rsidRDefault="003A1B89" w:rsidP="00623F66">
      <w:pPr>
        <w:numPr>
          <w:ilvl w:val="0"/>
          <w:numId w:val="1"/>
        </w:numPr>
        <w:spacing w:line="360" w:lineRule="auto"/>
        <w:jc w:val="both"/>
      </w:pPr>
      <w:r>
        <w:t>T</w:t>
      </w:r>
      <w:r w:rsidR="007E53A1" w:rsidRPr="005F19CB">
        <w:t xml:space="preserve">he cumulative impact of these </w:t>
      </w:r>
      <w:r w:rsidR="007E53A1">
        <w:t xml:space="preserve">regulatory </w:t>
      </w:r>
      <w:r w:rsidR="007E53A1" w:rsidRPr="005F19CB">
        <w:t>adjustments</w:t>
      </w:r>
      <w:r>
        <w:t xml:space="preserve"> has been reflected</w:t>
      </w:r>
      <w:r w:rsidR="007E53A1" w:rsidRPr="005F19CB">
        <w:t xml:space="preserve"> on cash working capital</w:t>
      </w:r>
    </w:p>
    <w:p w14:paraId="1F2D8294" w14:textId="77777777" w:rsidR="007E53A1" w:rsidRDefault="007E53A1" w:rsidP="00C23928">
      <w:pPr>
        <w:spacing w:line="360" w:lineRule="auto"/>
        <w:ind w:left="1080"/>
        <w:jc w:val="both"/>
      </w:pPr>
    </w:p>
    <w:p w14:paraId="2FF73A90" w14:textId="77777777" w:rsidR="007E53A1" w:rsidRDefault="007E53A1" w:rsidP="007E53A1">
      <w:pPr>
        <w:spacing w:line="360" w:lineRule="auto"/>
        <w:ind w:left="720"/>
        <w:jc w:val="both"/>
      </w:pPr>
      <w:r w:rsidRPr="005F19CB">
        <w:t>All of these adjustments are consistent with the treatment reflected in the Company’s previously filed Annual Surveillance Reports.</w:t>
      </w:r>
    </w:p>
    <w:p w14:paraId="2FA403BC" w14:textId="77777777" w:rsidR="00CA3990" w:rsidRPr="005F19CB" w:rsidRDefault="00CA3990" w:rsidP="007E53A1">
      <w:pPr>
        <w:spacing w:line="360" w:lineRule="auto"/>
        <w:ind w:left="720"/>
        <w:jc w:val="both"/>
      </w:pPr>
    </w:p>
    <w:p w14:paraId="06309CDB" w14:textId="77777777" w:rsidR="007E53A1" w:rsidRDefault="007E53A1" w:rsidP="007E53A1">
      <w:pPr>
        <w:spacing w:line="360" w:lineRule="auto"/>
        <w:ind w:left="720" w:hanging="720"/>
        <w:jc w:val="both"/>
        <w:rPr>
          <w:b/>
        </w:rPr>
      </w:pPr>
      <w:r>
        <w:rPr>
          <w:b/>
        </w:rPr>
        <w:t>Q.</w:t>
      </w:r>
      <w:r>
        <w:rPr>
          <w:b/>
        </w:rPr>
        <w:tab/>
        <w:t>WHY ARE EXPENSES RELATED TO STOCK-BASED COMPENSATION APPROPRIATE FOR RETAIL COST RECOVERY?</w:t>
      </w:r>
    </w:p>
    <w:p w14:paraId="11FE2892" w14:textId="78A81078" w:rsidR="007E53A1" w:rsidRPr="005A53C2" w:rsidRDefault="007E53A1" w:rsidP="00D903E2">
      <w:pPr>
        <w:spacing w:line="360" w:lineRule="auto"/>
        <w:ind w:left="720" w:hanging="720"/>
        <w:jc w:val="both"/>
      </w:pPr>
      <w:r w:rsidRPr="005A53C2">
        <w:t>A.</w:t>
      </w:r>
      <w:r w:rsidRPr="005A53C2">
        <w:tab/>
      </w:r>
      <w:r>
        <w:t>Stock-based compensation, similar to cash compensation, is part of the Company’s total compensation offered in order to attract and retain high-performing employees.</w:t>
      </w:r>
      <w:r w:rsidR="00CA3990">
        <w:t xml:space="preserve">  It is common practice for companies to include a long-term, at-risk component such as stock-based compensation in the total compensation for employees that have greater responsibility for decisions that impact the long-term performance of the company.</w:t>
      </w:r>
      <w:r w:rsidR="00CA3990" w:rsidRPr="00E07E23">
        <w:t xml:space="preserve"> </w:t>
      </w:r>
      <w:r w:rsidR="00E07E23">
        <w:t xml:space="preserve"> </w:t>
      </w:r>
      <w:r w:rsidR="00CA3990">
        <w:t>This</w:t>
      </w:r>
      <w:r w:rsidR="00E07E23">
        <w:t xml:space="preserve"> form of </w:t>
      </w:r>
      <w:r w:rsidR="00CA3990">
        <w:t>at-risk</w:t>
      </w:r>
      <w:r w:rsidR="00E07E23">
        <w:t xml:space="preserve"> compensation </w:t>
      </w:r>
      <w:r w:rsidR="00E07E23" w:rsidRPr="00A5709D">
        <w:t xml:space="preserve">is </w:t>
      </w:r>
      <w:r w:rsidR="00E07E23" w:rsidRPr="00A5709D">
        <w:rPr>
          <w:bCs/>
        </w:rPr>
        <w:t>not</w:t>
      </w:r>
      <w:r w:rsidR="00E07E23">
        <w:t xml:space="preserve"> additional compensation</w:t>
      </w:r>
      <w:r w:rsidR="00CA3990">
        <w:t xml:space="preserve">.  It is part of the employee’s market pay and </w:t>
      </w:r>
      <w:r w:rsidR="00E85C9A">
        <w:t xml:space="preserve">put </w:t>
      </w:r>
      <w:r w:rsidR="00CA3990">
        <w:t xml:space="preserve">at risk </w:t>
      </w:r>
      <w:r w:rsidR="00E07E23">
        <w:t xml:space="preserve">to align employee behaviors with customer interests.  </w:t>
      </w:r>
      <w:r>
        <w:t xml:space="preserve">Stock-based compensation, as part of a comprehensive compensation plan, allows the Company to remain competitive with the market for employees and incents the balance of long-term and short-term goals, both which, in turn, enable the Company to provide its customers with high satisfaction and reliability by allowing the Company to operate its business efficiently and effectively. </w:t>
      </w:r>
    </w:p>
    <w:p w14:paraId="5E67268E" w14:textId="77777777" w:rsidR="007E53A1" w:rsidRDefault="007E53A1" w:rsidP="007E53A1">
      <w:pPr>
        <w:spacing w:line="360" w:lineRule="auto"/>
        <w:ind w:left="720" w:hanging="720"/>
        <w:jc w:val="both"/>
        <w:rPr>
          <w:b/>
        </w:rPr>
      </w:pPr>
    </w:p>
    <w:p w14:paraId="363EF44C" w14:textId="77777777" w:rsidR="007E53A1" w:rsidRPr="005F19CB" w:rsidRDefault="007E53A1" w:rsidP="007E53A1">
      <w:pPr>
        <w:spacing w:line="360" w:lineRule="auto"/>
        <w:ind w:left="720" w:hanging="720"/>
        <w:jc w:val="both"/>
        <w:rPr>
          <w:b/>
        </w:rPr>
      </w:pPr>
      <w:r w:rsidRPr="005F19CB">
        <w:rPr>
          <w:b/>
        </w:rPr>
        <w:t>Q.</w:t>
      </w:r>
      <w:r w:rsidRPr="005F19CB">
        <w:rPr>
          <w:b/>
        </w:rPr>
        <w:tab/>
        <w:t>WHAT OTHER ADJUSTMENTS ARE INCLUDED IN THE COMPANY’S FILING THAT HAVE BEEN INCLUDED IN PREVIOUS CASES?</w:t>
      </w:r>
    </w:p>
    <w:p w14:paraId="282ED1DD" w14:textId="77777777" w:rsidR="007E53A1" w:rsidRPr="005F19CB" w:rsidRDefault="007E53A1" w:rsidP="007E53A1">
      <w:pPr>
        <w:spacing w:line="360" w:lineRule="auto"/>
        <w:ind w:left="720" w:hanging="720"/>
        <w:jc w:val="both"/>
      </w:pPr>
      <w:r w:rsidRPr="005F19CB">
        <w:t>A.</w:t>
      </w:r>
      <w:r w:rsidRPr="005F19CB">
        <w:tab/>
        <w:t>The Company is proposing the following adjustments that reflect prior Commission orders:</w:t>
      </w:r>
    </w:p>
    <w:p w14:paraId="2735E55A" w14:textId="77777777" w:rsidR="007E53A1" w:rsidRPr="005F19CB" w:rsidRDefault="007E53A1" w:rsidP="00623F66">
      <w:pPr>
        <w:numPr>
          <w:ilvl w:val="0"/>
          <w:numId w:val="2"/>
        </w:numPr>
        <w:spacing w:line="360" w:lineRule="auto"/>
        <w:jc w:val="both"/>
      </w:pPr>
      <w:r w:rsidRPr="005F19CB">
        <w:lastRenderedPageBreak/>
        <w:t>Depreciation expense to reflect new depreciation rates</w:t>
      </w:r>
    </w:p>
    <w:p w14:paraId="59AC6DE8" w14:textId="77777777" w:rsidR="007E53A1" w:rsidRPr="005F19CB" w:rsidRDefault="007E53A1" w:rsidP="00623F66">
      <w:pPr>
        <w:numPr>
          <w:ilvl w:val="0"/>
          <w:numId w:val="2"/>
        </w:numPr>
        <w:spacing w:line="360" w:lineRule="auto"/>
        <w:jc w:val="both"/>
      </w:pPr>
      <w:r w:rsidRPr="005F19CB">
        <w:t>Nuclear Decommissioning expense</w:t>
      </w:r>
    </w:p>
    <w:p w14:paraId="470150AC" w14:textId="77777777" w:rsidR="007E53A1" w:rsidRPr="005F19CB" w:rsidRDefault="007E53A1" w:rsidP="00623F66">
      <w:pPr>
        <w:numPr>
          <w:ilvl w:val="0"/>
          <w:numId w:val="2"/>
        </w:numPr>
        <w:spacing w:line="360" w:lineRule="auto"/>
        <w:jc w:val="both"/>
      </w:pPr>
      <w:r w:rsidRPr="005F19CB">
        <w:t>Storm Damage expense</w:t>
      </w:r>
    </w:p>
    <w:p w14:paraId="1880A5D6" w14:textId="77777777" w:rsidR="007E53A1" w:rsidRPr="005F19CB" w:rsidRDefault="007E53A1" w:rsidP="00623F66">
      <w:pPr>
        <w:numPr>
          <w:ilvl w:val="0"/>
          <w:numId w:val="2"/>
        </w:numPr>
        <w:spacing w:line="360" w:lineRule="auto"/>
        <w:jc w:val="both"/>
      </w:pPr>
      <w:r w:rsidRPr="005F19CB">
        <w:t>Environmental Remediation expense</w:t>
      </w:r>
    </w:p>
    <w:p w14:paraId="1A66C3EF" w14:textId="77777777" w:rsidR="007E53A1" w:rsidRDefault="007E53A1" w:rsidP="00623F66">
      <w:pPr>
        <w:numPr>
          <w:ilvl w:val="0"/>
          <w:numId w:val="2"/>
        </w:numPr>
        <w:spacing w:line="360" w:lineRule="auto"/>
        <w:jc w:val="both"/>
      </w:pPr>
      <w:r w:rsidRPr="005F19CB">
        <w:t>Staff consultant fees paid by the Company</w:t>
      </w:r>
    </w:p>
    <w:p w14:paraId="73775C59" w14:textId="77777777" w:rsidR="007E53A1" w:rsidRPr="005F19CB" w:rsidRDefault="007E53A1" w:rsidP="00623F66">
      <w:pPr>
        <w:keepNext/>
        <w:numPr>
          <w:ilvl w:val="0"/>
          <w:numId w:val="2"/>
        </w:numPr>
        <w:spacing w:line="360" w:lineRule="auto"/>
        <w:jc w:val="both"/>
      </w:pPr>
      <w:r>
        <w:t>Proration of federal ADITs</w:t>
      </w:r>
    </w:p>
    <w:p w14:paraId="451EA8D5" w14:textId="77777777" w:rsidR="00C95AE1" w:rsidRDefault="007E53A1" w:rsidP="00623F66">
      <w:pPr>
        <w:keepNext/>
        <w:numPr>
          <w:ilvl w:val="0"/>
          <w:numId w:val="2"/>
        </w:numPr>
        <w:spacing w:line="360" w:lineRule="auto"/>
        <w:jc w:val="both"/>
      </w:pPr>
      <w:r>
        <w:t xml:space="preserve">Test Period </w:t>
      </w:r>
      <w:r w:rsidRPr="005F19CB">
        <w:t>Normalization items</w:t>
      </w:r>
    </w:p>
    <w:p w14:paraId="443FDFCD" w14:textId="77777777" w:rsidR="007E53A1" w:rsidRPr="005F19CB" w:rsidRDefault="007E53A1" w:rsidP="009B6905">
      <w:pPr>
        <w:spacing w:line="360" w:lineRule="auto"/>
        <w:ind w:left="1440"/>
        <w:jc w:val="both"/>
      </w:pPr>
    </w:p>
    <w:p w14:paraId="61798EF1" w14:textId="77777777" w:rsidR="007E53A1" w:rsidRPr="005F19CB" w:rsidRDefault="007E53A1" w:rsidP="007E53A1">
      <w:pPr>
        <w:spacing w:line="360" w:lineRule="auto"/>
        <w:ind w:left="720" w:hanging="720"/>
        <w:jc w:val="both"/>
      </w:pPr>
      <w:r w:rsidRPr="005F19CB">
        <w:rPr>
          <w:b/>
        </w:rPr>
        <w:t>Q.</w:t>
      </w:r>
      <w:r w:rsidRPr="005F19CB">
        <w:rPr>
          <w:b/>
        </w:rPr>
        <w:tab/>
      </w:r>
      <w:r w:rsidRPr="007E2482">
        <w:rPr>
          <w:b/>
        </w:rPr>
        <w:t>HOW HAVE THE NEW DEPRECIATION RATES BEEN REFLECTED IN THE TRADITIONAL REVENUE REQUIREMENT FOR THE PERIOD ENDING JULY 31, 2020?</w:t>
      </w:r>
    </w:p>
    <w:p w14:paraId="0F6D9ABB" w14:textId="2DCD3D6F" w:rsidR="007E53A1" w:rsidRDefault="007E53A1" w:rsidP="00F47931">
      <w:pPr>
        <w:tabs>
          <w:tab w:val="left" w:pos="720"/>
        </w:tabs>
        <w:spacing w:line="360" w:lineRule="auto"/>
        <w:ind w:left="720" w:hanging="720"/>
        <w:jc w:val="both"/>
      </w:pPr>
      <w:r w:rsidRPr="005F19CB">
        <w:t>A.</w:t>
      </w:r>
      <w:r w:rsidRPr="005F19CB">
        <w:tab/>
        <w:t xml:space="preserve">The depreciation rates used by the Company are reviewed </w:t>
      </w:r>
      <w:r>
        <w:t>in every base rate case</w:t>
      </w:r>
      <w:r w:rsidRPr="005F19CB">
        <w:t xml:space="preserve"> to ensure that they continue to reflect the current cost of providing service to our customers.  Our latest depreciation study shows that current depreciation rates, which were </w:t>
      </w:r>
      <w:r>
        <w:t xml:space="preserve">approved in the 2013 </w:t>
      </w:r>
      <w:r w:rsidR="00AE53E8">
        <w:t>Rate C</w:t>
      </w:r>
      <w:r w:rsidR="006D5559">
        <w:t>ase</w:t>
      </w:r>
      <w:r>
        <w:t>,</w:t>
      </w:r>
      <w:r w:rsidRPr="005F19CB">
        <w:t xml:space="preserve"> need to be changed to reflect</w:t>
      </w:r>
      <w:r w:rsidR="00F47931">
        <w:t xml:space="preserve"> </w:t>
      </w:r>
      <w:r w:rsidRPr="005F19CB">
        <w:t xml:space="preserve">updated estimates of </w:t>
      </w:r>
      <w:r w:rsidR="003B236A" w:rsidRPr="003B236A">
        <w:t xml:space="preserve">generating unit retirement dates, decommissioning </w:t>
      </w:r>
      <w:r w:rsidR="003B236A">
        <w:t>costs</w:t>
      </w:r>
      <w:r>
        <w:t>,</w:t>
      </w:r>
      <w:r w:rsidRPr="005F19CB">
        <w:t xml:space="preserve"> and to recognize the additional investment in new facilities and retirements since </w:t>
      </w:r>
      <w:r>
        <w:t>the previous depreciation study</w:t>
      </w:r>
      <w:r w:rsidR="00F5312D" w:rsidRPr="005F19CB">
        <w:t xml:space="preserve">.  </w:t>
      </w:r>
      <w:r w:rsidRPr="005F19CB">
        <w:t xml:space="preserve">Based on the new study, the </w:t>
      </w:r>
      <w:r>
        <w:t>proposed revenue requirement in this filing</w:t>
      </w:r>
      <w:r w:rsidRPr="005F19CB">
        <w:t xml:space="preserve"> reflects the new depreciation rates.  Please refer to </w:t>
      </w:r>
      <w:r w:rsidRPr="0049198E">
        <w:t>Exhibit___(</w:t>
      </w:r>
      <w:r>
        <w:t>DPP/SPA/MBR</w:t>
      </w:r>
      <w:r w:rsidRPr="005F19CB">
        <w:t>-</w:t>
      </w:r>
      <w:r w:rsidR="00F52B4A">
        <w:t>5</w:t>
      </w:r>
      <w:r w:rsidRPr="005F19CB">
        <w:t xml:space="preserve">, Schedule </w:t>
      </w:r>
      <w:r w:rsidR="00C70587">
        <w:t>1</w:t>
      </w:r>
      <w:r w:rsidRPr="005F19CB">
        <w:t>) and the depreciation study, which can be found in Appendix__</w:t>
      </w:r>
      <w:r>
        <w:t>_</w:t>
      </w:r>
      <w:r w:rsidRPr="005F19CB">
        <w:t xml:space="preserve">Exhibit </w:t>
      </w:r>
      <w:r>
        <w:t>2</w:t>
      </w:r>
      <w:r w:rsidRPr="005F19CB">
        <w:t xml:space="preserve"> of this filing.   </w:t>
      </w:r>
    </w:p>
    <w:p w14:paraId="7AD5AFFA" w14:textId="77777777" w:rsidR="007E53A1" w:rsidRPr="005F19CB" w:rsidRDefault="007E53A1" w:rsidP="007E53A1">
      <w:pPr>
        <w:tabs>
          <w:tab w:val="left" w:pos="720"/>
        </w:tabs>
        <w:spacing w:line="360" w:lineRule="auto"/>
        <w:ind w:left="720" w:hanging="720"/>
        <w:jc w:val="both"/>
      </w:pPr>
    </w:p>
    <w:p w14:paraId="72CD04ED" w14:textId="77777777" w:rsidR="007E53A1" w:rsidRPr="005F19CB" w:rsidRDefault="007E53A1" w:rsidP="007E53A1">
      <w:pPr>
        <w:tabs>
          <w:tab w:val="left" w:pos="720"/>
        </w:tabs>
        <w:spacing w:line="360" w:lineRule="auto"/>
        <w:ind w:left="720" w:hanging="720"/>
        <w:jc w:val="both"/>
        <w:rPr>
          <w:b/>
        </w:rPr>
      </w:pPr>
      <w:r w:rsidRPr="005F19CB">
        <w:rPr>
          <w:b/>
        </w:rPr>
        <w:t>Q.</w:t>
      </w:r>
      <w:r w:rsidRPr="005F19CB">
        <w:rPr>
          <w:b/>
        </w:rPr>
        <w:tab/>
      </w:r>
      <w:r w:rsidRPr="008F19E3">
        <w:rPr>
          <w:b/>
        </w:rPr>
        <w:t>WHO PREPARED THE NEW DEPRECIATION STUDY AND ON WHAT PRINCIPLES IS IT BASED?</w:t>
      </w:r>
    </w:p>
    <w:p w14:paraId="3E42E2B9" w14:textId="234C0D2D" w:rsidR="00C95AE1" w:rsidRDefault="007E53A1" w:rsidP="007E53A1">
      <w:pPr>
        <w:tabs>
          <w:tab w:val="left" w:pos="720"/>
        </w:tabs>
        <w:spacing w:line="360" w:lineRule="auto"/>
        <w:ind w:left="720" w:hanging="720"/>
        <w:jc w:val="both"/>
      </w:pPr>
      <w:r w:rsidRPr="005F19CB">
        <w:t>A.</w:t>
      </w:r>
      <w:r w:rsidRPr="005F19CB">
        <w:tab/>
        <w:t xml:space="preserve">The depreciation study was </w:t>
      </w:r>
      <w:r>
        <w:t>developed</w:t>
      </w:r>
      <w:r w:rsidRPr="005F19CB">
        <w:t xml:space="preserve"> by </w:t>
      </w:r>
      <w:r>
        <w:t>Alliance Consulting Group</w:t>
      </w:r>
      <w:r w:rsidRPr="005F19CB">
        <w:t>.  In addition, Southern Company Services</w:t>
      </w:r>
      <w:r>
        <w:t xml:space="preserve"> and Brandenburg, a national demolition firm, </w:t>
      </w:r>
      <w:r w:rsidRPr="005F19CB">
        <w:t xml:space="preserve">updated the </w:t>
      </w:r>
      <w:r>
        <w:t>d</w:t>
      </w:r>
      <w:r w:rsidRPr="005F19CB">
        <w:t>ismantl</w:t>
      </w:r>
      <w:r>
        <w:t>ement</w:t>
      </w:r>
      <w:r w:rsidRPr="005F19CB">
        <w:t xml:space="preserve"> </w:t>
      </w:r>
      <w:r>
        <w:t>s</w:t>
      </w:r>
      <w:r w:rsidRPr="005F19CB">
        <w:t>tudy through 201</w:t>
      </w:r>
      <w:r>
        <w:t>7,</w:t>
      </w:r>
      <w:r w:rsidRPr="005F19CB">
        <w:t xml:space="preserve"> which was used by </w:t>
      </w:r>
      <w:r>
        <w:t xml:space="preserve">Alliance Consulting Group </w:t>
      </w:r>
      <w:r w:rsidRPr="005F19CB">
        <w:t>for certain assumptions in their study.  The key principles reflected in the rates are the average life group procedure, the remaining life technique</w:t>
      </w:r>
      <w:r w:rsidR="00DB77D0">
        <w:t>,</w:t>
      </w:r>
      <w:r w:rsidRPr="005F19CB">
        <w:t xml:space="preserve"> and the </w:t>
      </w:r>
      <w:r w:rsidR="00DB77D0" w:rsidRPr="00DB77D0">
        <w:t>traditional net salvage</w:t>
      </w:r>
      <w:r w:rsidR="00DB77D0" w:rsidRPr="00DB77D0" w:rsidDel="00DB77D0">
        <w:t xml:space="preserve"> </w:t>
      </w:r>
      <w:r w:rsidR="00DB77D0">
        <w:t>approach</w:t>
      </w:r>
      <w:r w:rsidRPr="005F19CB">
        <w:t xml:space="preserve">.  </w:t>
      </w:r>
      <w:r w:rsidRPr="005F19CB">
        <w:lastRenderedPageBreak/>
        <w:t xml:space="preserve">The current </w:t>
      </w:r>
      <w:r>
        <w:t xml:space="preserve">depreciation </w:t>
      </w:r>
      <w:r w:rsidRPr="005F19CB">
        <w:t xml:space="preserve">study is consistent with the </w:t>
      </w:r>
      <w:r>
        <w:t xml:space="preserve">general </w:t>
      </w:r>
      <w:r w:rsidRPr="005F19CB">
        <w:t>principles and processes followed in the 201</w:t>
      </w:r>
      <w:r>
        <w:t>3</w:t>
      </w:r>
      <w:r w:rsidRPr="005F19CB">
        <w:t xml:space="preserve"> </w:t>
      </w:r>
      <w:r w:rsidR="00AE53E8">
        <w:t>Rate C</w:t>
      </w:r>
      <w:r w:rsidRPr="005F19CB">
        <w:t xml:space="preserve">ase.  </w:t>
      </w:r>
    </w:p>
    <w:p w14:paraId="270098F8" w14:textId="77777777" w:rsidR="007E53A1" w:rsidRDefault="007E53A1" w:rsidP="00071456">
      <w:pPr>
        <w:tabs>
          <w:tab w:val="left" w:pos="720"/>
        </w:tabs>
        <w:spacing w:line="360" w:lineRule="auto"/>
        <w:ind w:left="720" w:hanging="720"/>
        <w:jc w:val="both"/>
        <w:rPr>
          <w:b/>
        </w:rPr>
      </w:pPr>
    </w:p>
    <w:p w14:paraId="5CF919B0" w14:textId="77777777" w:rsidR="007E53A1" w:rsidRPr="005F19CB" w:rsidRDefault="007E53A1" w:rsidP="00071456">
      <w:pPr>
        <w:keepNext/>
        <w:tabs>
          <w:tab w:val="left" w:pos="720"/>
        </w:tabs>
        <w:spacing w:line="360" w:lineRule="auto"/>
        <w:ind w:left="720" w:hanging="720"/>
        <w:jc w:val="both"/>
        <w:rPr>
          <w:b/>
        </w:rPr>
      </w:pPr>
      <w:r w:rsidRPr="005F19CB">
        <w:rPr>
          <w:b/>
        </w:rPr>
        <w:t>Q.</w:t>
      </w:r>
      <w:r w:rsidRPr="005F19CB">
        <w:rPr>
          <w:b/>
        </w:rPr>
        <w:tab/>
        <w:t>HAS THE COMPANY INCLUDED AN ADJUSTMENT FOR FUNDING NUCLEAR DECOMMISSIONING?</w:t>
      </w:r>
    </w:p>
    <w:p w14:paraId="5B5B6C99" w14:textId="3BA49CD7" w:rsidR="007E53A1" w:rsidRDefault="007E53A1" w:rsidP="00071456">
      <w:pPr>
        <w:keepNext/>
        <w:spacing w:line="360" w:lineRule="auto"/>
        <w:ind w:left="720" w:hanging="720"/>
        <w:jc w:val="both"/>
      </w:pPr>
      <w:r w:rsidRPr="005F19CB">
        <w:t>A.</w:t>
      </w:r>
      <w:r w:rsidRPr="005F19CB">
        <w:tab/>
        <w:t>Yes</w:t>
      </w:r>
      <w:r w:rsidR="00F5312D" w:rsidRPr="005F19CB">
        <w:t>.</w:t>
      </w:r>
      <w:r w:rsidR="00F5312D">
        <w:t xml:space="preserve">  </w:t>
      </w:r>
      <w:r w:rsidRPr="005F19CB">
        <w:t>The Company has updated funding amounts in the budget for the nuclear decommissioning trust account</w:t>
      </w:r>
      <w:r w:rsidR="00C70587">
        <w:t>s</w:t>
      </w:r>
      <w:r w:rsidRPr="005F19CB">
        <w:t xml:space="preserve"> to reflect the treatment approved by this Commission since 2001.  </w:t>
      </w:r>
      <w:r w:rsidR="00C70587">
        <w:t>E</w:t>
      </w:r>
      <w:r w:rsidRPr="005F19CB">
        <w:t>xternal trust fund balances</w:t>
      </w:r>
      <w:r>
        <w:t xml:space="preserve"> were updated</w:t>
      </w:r>
      <w:r w:rsidRPr="005F19CB">
        <w:t xml:space="preserve"> as of December 31, 201</w:t>
      </w:r>
      <w:r>
        <w:t>8</w:t>
      </w:r>
      <w:r w:rsidRPr="005F19CB">
        <w:t xml:space="preserve"> to calculate the projected fund contributions until decommissioning.  </w:t>
      </w:r>
      <w:r w:rsidR="00C70587" w:rsidRPr="005F19CB">
        <w:t xml:space="preserve">Accordingly, we have </w:t>
      </w:r>
      <w:r w:rsidR="00C70587">
        <w:t>de</w:t>
      </w:r>
      <w:r w:rsidR="00C70587" w:rsidRPr="005F19CB">
        <w:t xml:space="preserve">creased the annual nuclear decommissioning expense from </w:t>
      </w:r>
      <w:r w:rsidR="00C70587">
        <w:t>$</w:t>
      </w:r>
      <w:r w:rsidR="00C70587" w:rsidRPr="00EE152E">
        <w:t>5.4</w:t>
      </w:r>
      <w:r w:rsidR="00C70587" w:rsidRPr="005F19CB">
        <w:t xml:space="preserve"> million to </w:t>
      </w:r>
      <w:r w:rsidR="00C70587" w:rsidRPr="003B1854">
        <w:t>$4.3</w:t>
      </w:r>
      <w:r w:rsidR="00C70587" w:rsidRPr="005F19CB">
        <w:t xml:space="preserve"> million in this filing</w:t>
      </w:r>
      <w:r w:rsidR="00146EFB">
        <w:t>.</w:t>
      </w:r>
    </w:p>
    <w:p w14:paraId="5D62067E" w14:textId="77777777" w:rsidR="007E53A1" w:rsidRPr="005F19CB" w:rsidRDefault="007E53A1" w:rsidP="007E53A1">
      <w:pPr>
        <w:spacing w:line="360" w:lineRule="auto"/>
        <w:ind w:left="720" w:hanging="720"/>
        <w:jc w:val="both"/>
      </w:pPr>
    </w:p>
    <w:p w14:paraId="149FF29B" w14:textId="6707F68A" w:rsidR="007E53A1" w:rsidRDefault="007E53A1" w:rsidP="00B65E02">
      <w:pPr>
        <w:spacing w:line="360" w:lineRule="auto"/>
        <w:ind w:left="720"/>
        <w:jc w:val="both"/>
        <w:rPr>
          <w:b/>
        </w:rPr>
      </w:pPr>
      <w:r w:rsidRPr="005F19CB">
        <w:t xml:space="preserve">The proposed level of nuclear decommissioning funding </w:t>
      </w:r>
      <w:r>
        <w:t xml:space="preserve">is </w:t>
      </w:r>
      <w:r w:rsidR="002377E3">
        <w:t xml:space="preserve">currently </w:t>
      </w:r>
      <w:r>
        <w:t xml:space="preserve">expected to </w:t>
      </w:r>
      <w:r w:rsidR="009D70CF">
        <w:t>meet Nuclear Regulatory Commission minimum funding requirements for decommissioning</w:t>
      </w:r>
      <w:r w:rsidRPr="005F19CB">
        <w:t xml:space="preserve"> structures and equipment</w:t>
      </w:r>
      <w:r w:rsidR="009D70CF">
        <w:t xml:space="preserve"> and also provides funding for</w:t>
      </w:r>
      <w:r w:rsidRPr="005F19CB">
        <w:t xml:space="preserve"> the storage and eventual removal of spent nuclear fuel</w:t>
      </w:r>
      <w:r w:rsidR="00F5312D" w:rsidRPr="005F19CB">
        <w:t>.</w:t>
      </w:r>
      <w:r w:rsidR="00F5312D">
        <w:t xml:space="preserve">  </w:t>
      </w:r>
      <w:r w:rsidR="009D70CF">
        <w:t>Consistent with the Commission’s previous orders, the Company also excluded any costs related to site restoration of the facilities</w:t>
      </w:r>
      <w:r w:rsidR="00146EFB">
        <w:t xml:space="preserve">.  </w:t>
      </w:r>
      <w:r w:rsidRPr="005F19CB">
        <w:t>As required by the Commission, the amounts collected will continue to be placed in an external trust fund.  Information supporting the funding requirement calculation can be found in Exhibit___(</w:t>
      </w:r>
      <w:r>
        <w:t>DPP/SPA/MBR</w:t>
      </w:r>
      <w:r w:rsidRPr="005F19CB">
        <w:t>-</w:t>
      </w:r>
      <w:r w:rsidR="009D70CF">
        <w:t>5</w:t>
      </w:r>
      <w:r w:rsidRPr="005F19CB">
        <w:t xml:space="preserve">, Schedule </w:t>
      </w:r>
      <w:r w:rsidR="009D70CF">
        <w:t>4</w:t>
      </w:r>
      <w:r w:rsidRPr="005F19CB">
        <w:t>).</w:t>
      </w:r>
      <w:r w:rsidRPr="005F19CB">
        <w:rPr>
          <w:b/>
        </w:rPr>
        <w:t xml:space="preserve"> </w:t>
      </w:r>
    </w:p>
    <w:p w14:paraId="572AEE30" w14:textId="77777777" w:rsidR="008B0C6A" w:rsidRDefault="008B0C6A" w:rsidP="00B65E02">
      <w:pPr>
        <w:spacing w:line="360" w:lineRule="auto"/>
        <w:ind w:left="720"/>
        <w:jc w:val="both"/>
        <w:rPr>
          <w:b/>
        </w:rPr>
      </w:pPr>
    </w:p>
    <w:p w14:paraId="25008506" w14:textId="1D4B41FD" w:rsidR="007E53A1" w:rsidRDefault="007E53A1" w:rsidP="007E53A1">
      <w:pPr>
        <w:spacing w:line="360" w:lineRule="auto"/>
        <w:ind w:left="720" w:hanging="720"/>
        <w:jc w:val="both"/>
        <w:rPr>
          <w:b/>
        </w:rPr>
      </w:pPr>
      <w:r>
        <w:rPr>
          <w:b/>
        </w:rPr>
        <w:t>Q.</w:t>
      </w:r>
      <w:r>
        <w:rPr>
          <w:b/>
        </w:rPr>
        <w:tab/>
      </w:r>
      <w:r w:rsidRPr="005F19CB">
        <w:rPr>
          <w:b/>
        </w:rPr>
        <w:t xml:space="preserve">PLEASE </w:t>
      </w:r>
      <w:r>
        <w:rPr>
          <w:b/>
        </w:rPr>
        <w:t xml:space="preserve">DESCRIBE </w:t>
      </w:r>
      <w:r w:rsidRPr="005F19CB">
        <w:rPr>
          <w:b/>
        </w:rPr>
        <w:t xml:space="preserve">THE </w:t>
      </w:r>
      <w:r>
        <w:rPr>
          <w:b/>
        </w:rPr>
        <w:t xml:space="preserve">CHANGE IN THE </w:t>
      </w:r>
      <w:r w:rsidRPr="005F19CB">
        <w:rPr>
          <w:b/>
        </w:rPr>
        <w:t xml:space="preserve">STORM DAMAGE </w:t>
      </w:r>
      <w:r>
        <w:rPr>
          <w:b/>
        </w:rPr>
        <w:t>REGULATORY ASSET BALANCE SINCE THE 2013 RATE CASE</w:t>
      </w:r>
      <w:r w:rsidRPr="005F19CB">
        <w:rPr>
          <w:b/>
        </w:rPr>
        <w:t>.</w:t>
      </w:r>
    </w:p>
    <w:p w14:paraId="1FFC0C00" w14:textId="483316FB" w:rsidR="007E53A1" w:rsidRDefault="007E53A1" w:rsidP="007E53A1">
      <w:pPr>
        <w:spacing w:line="360" w:lineRule="auto"/>
        <w:ind w:left="720" w:hanging="720"/>
        <w:jc w:val="both"/>
      </w:pPr>
      <w:r>
        <w:t>A.</w:t>
      </w:r>
      <w:r>
        <w:tab/>
        <w:t>The storm damage regulatory asset balance has increased from $37.1 million as of December 31, 2013 to $415.8 million as of December 31, 2018.  Since the Commission approved the annual storm damage expense of $29.9 million in the 2013</w:t>
      </w:r>
      <w:r w:rsidR="00AE53E8">
        <w:t xml:space="preserve"> Rate Case</w:t>
      </w:r>
      <w:r>
        <w:t>, there have been a number of significant storms that impacted the Georgia Power service territory.  Most notably,</w:t>
      </w:r>
      <w:r w:rsidR="006F633B">
        <w:t xml:space="preserve"> costs charged to the storm reserve account </w:t>
      </w:r>
      <w:r w:rsidR="001A02FA">
        <w:t>for</w:t>
      </w:r>
      <w:r>
        <w:t xml:space="preserve"> </w:t>
      </w:r>
      <w:r w:rsidR="00CB0F1D">
        <w:t>I</w:t>
      </w:r>
      <w:r>
        <w:t>ce Storm Pax (2014) of approximately $75 million</w:t>
      </w:r>
      <w:r w:rsidR="00CB0F1D">
        <w:t>;</w:t>
      </w:r>
      <w:r>
        <w:t xml:space="preserve"> Hurricanes Matthew (2016) and Irma (2017) totaling approximately $2</w:t>
      </w:r>
      <w:r w:rsidR="003C3B3C">
        <w:t>4</w:t>
      </w:r>
      <w:r>
        <w:t>0 million</w:t>
      </w:r>
      <w:r w:rsidR="00CB0F1D">
        <w:t xml:space="preserve">; </w:t>
      </w:r>
      <w:r>
        <w:t>and Hurricane Michael in 2018</w:t>
      </w:r>
      <w:r w:rsidR="00CB0F1D">
        <w:t>,</w:t>
      </w:r>
      <w:r>
        <w:t xml:space="preserve"> of approximately </w:t>
      </w:r>
      <w:r w:rsidRPr="009A4DCB">
        <w:t>$1</w:t>
      </w:r>
      <w:r w:rsidR="006F633B">
        <w:t>30</w:t>
      </w:r>
      <w:r>
        <w:t xml:space="preserve"> </w:t>
      </w:r>
      <w:r>
        <w:lastRenderedPageBreak/>
        <w:t>million</w:t>
      </w:r>
      <w:r w:rsidR="00CB0F1D">
        <w:t>; each caused extensive damage to Georgia Power’s T&amp;D systems</w:t>
      </w:r>
      <w:r>
        <w:t xml:space="preserve"> </w:t>
      </w:r>
      <w:r w:rsidR="00CB0F1D">
        <w:t>at significant cost</w:t>
      </w:r>
      <w:r>
        <w:t xml:space="preserve"> to restore power to our customers as timely and safely as possible.</w:t>
      </w:r>
    </w:p>
    <w:p w14:paraId="23652728" w14:textId="77777777" w:rsidR="007E53A1" w:rsidRPr="005F19CB" w:rsidRDefault="007E53A1" w:rsidP="007E53A1">
      <w:pPr>
        <w:spacing w:line="360" w:lineRule="auto"/>
        <w:ind w:left="720" w:hanging="720"/>
        <w:jc w:val="both"/>
      </w:pPr>
    </w:p>
    <w:p w14:paraId="7A9BE41F" w14:textId="77777777" w:rsidR="007E53A1" w:rsidRPr="005F19CB" w:rsidRDefault="007E53A1" w:rsidP="007E53A1">
      <w:pPr>
        <w:spacing w:line="360" w:lineRule="auto"/>
        <w:ind w:left="720" w:hanging="720"/>
        <w:jc w:val="both"/>
      </w:pPr>
      <w:r w:rsidRPr="005F19CB">
        <w:rPr>
          <w:b/>
        </w:rPr>
        <w:t>Q.</w:t>
      </w:r>
      <w:r w:rsidRPr="005F19CB">
        <w:rPr>
          <w:b/>
        </w:rPr>
        <w:tab/>
        <w:t>PLEASE EXPLAIN THE CHANGE IN STORM DAMAGE EXPENSE AS INCLUDED IN THE BUDGET.</w:t>
      </w:r>
    </w:p>
    <w:p w14:paraId="498B7B1D" w14:textId="5E47678C" w:rsidR="007E53A1" w:rsidRDefault="007E53A1" w:rsidP="007E53A1">
      <w:pPr>
        <w:spacing w:line="360" w:lineRule="auto"/>
        <w:ind w:left="720" w:hanging="720"/>
        <w:jc w:val="both"/>
      </w:pPr>
      <w:r w:rsidRPr="005F19CB">
        <w:t>A.</w:t>
      </w:r>
      <w:r w:rsidRPr="005F19CB">
        <w:tab/>
      </w:r>
      <w:r>
        <w:t>As stated above, t</w:t>
      </w:r>
      <w:r w:rsidRPr="005F19CB">
        <w:t xml:space="preserve">he Commission set the amount of </w:t>
      </w:r>
      <w:r>
        <w:t xml:space="preserve">annual </w:t>
      </w:r>
      <w:r w:rsidRPr="005F19CB">
        <w:t>storm damage expense at $</w:t>
      </w:r>
      <w:r w:rsidRPr="00EE152E">
        <w:t>29.9</w:t>
      </w:r>
      <w:r w:rsidRPr="005F19CB">
        <w:t xml:space="preserve"> million in </w:t>
      </w:r>
      <w:r w:rsidR="002751A6">
        <w:t>2013 Rate Case Order</w:t>
      </w:r>
      <w:r>
        <w:t>, which consisted of $22.8 million for projected annual storm costs and $7.1 million for recovery of prior storm costs</w:t>
      </w:r>
      <w:r w:rsidRPr="005F19CB">
        <w:t xml:space="preserve">.  </w:t>
      </w:r>
      <w:r>
        <w:t xml:space="preserve">Although the Company projected annual storm costs based on a five-year historical average in previous base rate cases, </w:t>
      </w:r>
      <w:r w:rsidR="00CB0F1D">
        <w:t xml:space="preserve">Georgia Power has </w:t>
      </w:r>
      <w:r>
        <w:t>experienced a significant</w:t>
      </w:r>
      <w:r w:rsidR="00CB0F1D">
        <w:t xml:space="preserve"> increase in the</w:t>
      </w:r>
      <w:r>
        <w:t xml:space="preserve"> amount of storm restoration costs resulting from some very severe weather events in the last five years.  Therefore, the Company used a 10-year historical average to project annual storm costs in this filing</w:t>
      </w:r>
      <w:r w:rsidR="00F5312D">
        <w:t xml:space="preserve">.  </w:t>
      </w:r>
      <w:r>
        <w:t>As a result, the Company projects annual storm costs of $63.5 million.  The regulatory asset balance</w:t>
      </w:r>
      <w:r w:rsidR="00CB0F1D">
        <w:t xml:space="preserve"> for storm damage</w:t>
      </w:r>
      <w:r>
        <w:t xml:space="preserve"> is estimated to increase to $449.4 million as of December 31, 2019</w:t>
      </w:r>
      <w:r w:rsidR="00F5312D">
        <w:t xml:space="preserve">.  </w:t>
      </w:r>
      <w:r>
        <w:t>T</w:t>
      </w:r>
      <w:r w:rsidRPr="005F19CB">
        <w:t xml:space="preserve">he </w:t>
      </w:r>
      <w:r w:rsidR="002377E3">
        <w:t xml:space="preserve">proposed </w:t>
      </w:r>
      <w:r>
        <w:t>s</w:t>
      </w:r>
      <w:r w:rsidRPr="005F19CB">
        <w:t xml:space="preserve">torm </w:t>
      </w:r>
      <w:r>
        <w:t>d</w:t>
      </w:r>
      <w:r w:rsidRPr="005F19CB">
        <w:t xml:space="preserve">amage </w:t>
      </w:r>
      <w:r>
        <w:t>expense</w:t>
      </w:r>
      <w:r w:rsidR="001608A0">
        <w:t xml:space="preserve"> is </w:t>
      </w:r>
      <w:r w:rsidRPr="005F19CB">
        <w:t xml:space="preserve">set at a level </w:t>
      </w:r>
      <w:r w:rsidR="001608A0">
        <w:t xml:space="preserve">expected to </w:t>
      </w:r>
      <w:r w:rsidRPr="005F19CB">
        <w:t xml:space="preserve">cover the </w:t>
      </w:r>
      <w:r>
        <w:t xml:space="preserve">projected increase in annual storm restoration costs estimated </w:t>
      </w:r>
      <w:r w:rsidRPr="005F19CB">
        <w:t>over the next three years</w:t>
      </w:r>
      <w:r>
        <w:t>,</w:t>
      </w:r>
      <w:r w:rsidRPr="005F19CB">
        <w:t xml:space="preserve"> but also reimburse the Company for unrecovered storm costs already incurred since the </w:t>
      </w:r>
      <w:r>
        <w:t>2013</w:t>
      </w:r>
      <w:r w:rsidR="00D62A59">
        <w:t xml:space="preserve"> Rate Case</w:t>
      </w:r>
      <w:r w:rsidR="001608A0">
        <w:t xml:space="preserve"> over the next three years</w:t>
      </w:r>
      <w:r w:rsidRPr="005F19CB">
        <w:t xml:space="preserve">.  The </w:t>
      </w:r>
      <w:r>
        <w:t xml:space="preserve">annual </w:t>
      </w:r>
      <w:r w:rsidRPr="005F19CB">
        <w:t xml:space="preserve">storm damage expense included in the </w:t>
      </w:r>
      <w:r>
        <w:t>filing</w:t>
      </w:r>
      <w:r w:rsidRPr="005F19CB">
        <w:t xml:space="preserve"> is $</w:t>
      </w:r>
      <w:r>
        <w:t>213.3</w:t>
      </w:r>
      <w:r w:rsidRPr="005F19CB">
        <w:t xml:space="preserve"> million, or an annual increase of $</w:t>
      </w:r>
      <w:r>
        <w:t>183.4</w:t>
      </w:r>
      <w:r w:rsidRPr="005F19CB">
        <w:t xml:space="preserve"> million</w:t>
      </w:r>
      <w:r w:rsidR="00F5312D" w:rsidRPr="005F19CB">
        <w:t xml:space="preserve">.  </w:t>
      </w:r>
      <w:r>
        <w:t xml:space="preserve">This increase reflects the Company’s request </w:t>
      </w:r>
      <w:r w:rsidRPr="005F19CB">
        <w:t xml:space="preserve">to reduce the current </w:t>
      </w:r>
      <w:r>
        <w:t xml:space="preserve">and projected </w:t>
      </w:r>
      <w:r w:rsidRPr="005F19CB">
        <w:t>regulatory asset balance for storm damage to zero</w:t>
      </w:r>
      <w:r w:rsidR="00562905">
        <w:t xml:space="preserve"> and</w:t>
      </w:r>
      <w:r>
        <w:t xml:space="preserve"> also accounts for </w:t>
      </w:r>
      <w:r w:rsidR="001608A0">
        <w:t xml:space="preserve">an </w:t>
      </w:r>
      <w:r>
        <w:t xml:space="preserve">increase </w:t>
      </w:r>
      <w:r w:rsidRPr="00F56F01">
        <w:t>of $40.8 million</w:t>
      </w:r>
      <w:r w:rsidRPr="005F19CB">
        <w:t xml:space="preserve"> </w:t>
      </w:r>
      <w:r>
        <w:t>for projected annual storm costs</w:t>
      </w:r>
      <w:r w:rsidRPr="005F19CB">
        <w:t xml:space="preserve">.  The methodology used to develop the </w:t>
      </w:r>
      <w:r>
        <w:t>projected annual storm damage expense</w:t>
      </w:r>
      <w:r w:rsidRPr="005F19CB">
        <w:t xml:space="preserve"> is shown in Exhibit__</w:t>
      </w:r>
      <w:r w:rsidR="00F5312D" w:rsidRPr="005F19CB">
        <w:t>_(</w:t>
      </w:r>
      <w:r>
        <w:t>DPP/SPA/MBR</w:t>
      </w:r>
      <w:r w:rsidRPr="005F19CB">
        <w:t>-</w:t>
      </w:r>
      <w:r w:rsidR="0079789E">
        <w:t>5</w:t>
      </w:r>
      <w:r w:rsidRPr="005F19CB">
        <w:t xml:space="preserve">, Schedule </w:t>
      </w:r>
      <w:r w:rsidR="0079789E">
        <w:t>2</w:t>
      </w:r>
      <w:r w:rsidRPr="005F19CB">
        <w:t>).</w:t>
      </w:r>
    </w:p>
    <w:p w14:paraId="71EE8B60" w14:textId="77777777" w:rsidR="00F526A6" w:rsidRPr="005F19CB" w:rsidRDefault="00F526A6" w:rsidP="007E53A1">
      <w:pPr>
        <w:spacing w:line="360" w:lineRule="auto"/>
        <w:jc w:val="both"/>
      </w:pPr>
    </w:p>
    <w:p w14:paraId="79DCBFC5" w14:textId="77777777" w:rsidR="007E53A1" w:rsidRPr="005F19CB" w:rsidRDefault="007E53A1" w:rsidP="007E53A1">
      <w:pPr>
        <w:spacing w:line="360" w:lineRule="auto"/>
        <w:ind w:left="720" w:hanging="720"/>
        <w:jc w:val="both"/>
      </w:pPr>
      <w:r w:rsidRPr="005F19CB">
        <w:rPr>
          <w:b/>
        </w:rPr>
        <w:t>Q.</w:t>
      </w:r>
      <w:r w:rsidRPr="005F19CB">
        <w:rPr>
          <w:b/>
        </w:rPr>
        <w:tab/>
        <w:t>PLEASE EXPLAIN THE CHANGE IN ENVIRONMENTAL REMEDIATION EXPENSE AS INCLUDED IN THE BUDGET.</w:t>
      </w:r>
    </w:p>
    <w:p w14:paraId="24B5E147" w14:textId="6E3A6A47" w:rsidR="007E53A1" w:rsidRDefault="007E53A1" w:rsidP="007E53A1">
      <w:pPr>
        <w:spacing w:line="360" w:lineRule="auto"/>
        <w:ind w:left="720" w:hanging="720"/>
        <w:jc w:val="both"/>
      </w:pPr>
      <w:r w:rsidRPr="005F19CB">
        <w:t>A.</w:t>
      </w:r>
      <w:r w:rsidRPr="005F19CB">
        <w:tab/>
      </w:r>
      <w:r>
        <w:t xml:space="preserve">The environmental remediation regulatory balance has increased from a net </w:t>
      </w:r>
      <w:r w:rsidR="001A02FA">
        <w:t xml:space="preserve">regulatory </w:t>
      </w:r>
      <w:r>
        <w:t xml:space="preserve">liability of $6.1 million as of December 31, 2013 to a net regulatory asset of $33.7 million as of </w:t>
      </w:r>
      <w:r w:rsidR="00A5709D">
        <w:t>December 31, 2018 and</w:t>
      </w:r>
      <w:r>
        <w:t xml:space="preserve"> is projected to be net regulatory asset </w:t>
      </w:r>
      <w:r w:rsidR="00146464">
        <w:t xml:space="preserve">of $42.3 </w:t>
      </w:r>
      <w:r w:rsidR="00411ABA">
        <w:t>m</w:t>
      </w:r>
      <w:r w:rsidR="00146464">
        <w:t xml:space="preserve">illion </w:t>
      </w:r>
      <w:r>
        <w:t xml:space="preserve">at </w:t>
      </w:r>
      <w:r>
        <w:lastRenderedPageBreak/>
        <w:t>December 31, 2019.</w:t>
      </w:r>
      <w:r w:rsidR="001A02FA">
        <w:t xml:space="preserve">  </w:t>
      </w:r>
      <w:r w:rsidRPr="005F19CB">
        <w:t xml:space="preserve">The Commission set the </w:t>
      </w:r>
      <w:r>
        <w:t>amount</w:t>
      </w:r>
      <w:r w:rsidRPr="005F19CB">
        <w:t xml:space="preserve"> of </w:t>
      </w:r>
      <w:r>
        <w:t xml:space="preserve">annual </w:t>
      </w:r>
      <w:r w:rsidRPr="005F19CB">
        <w:t>environmental remediation expense at $2.</w:t>
      </w:r>
      <w:r>
        <w:t>3</w:t>
      </w:r>
      <w:r w:rsidRPr="005F19CB">
        <w:t xml:space="preserve"> million in</w:t>
      </w:r>
      <w:r w:rsidR="00A5709D">
        <w:t xml:space="preserve"> the</w:t>
      </w:r>
      <w:r w:rsidRPr="005F19CB">
        <w:t xml:space="preserve"> </w:t>
      </w:r>
      <w:r w:rsidR="00A5709D">
        <w:t>2013 Rate Case Order</w:t>
      </w:r>
      <w:r w:rsidRPr="005F19CB">
        <w:t xml:space="preserve">.  The </w:t>
      </w:r>
      <w:r>
        <w:t>annual environmental remediation</w:t>
      </w:r>
      <w:r w:rsidRPr="005F19CB">
        <w:t xml:space="preserve"> expense included in the </w:t>
      </w:r>
      <w:r>
        <w:t>filing</w:t>
      </w:r>
      <w:r w:rsidRPr="005F19CB">
        <w:t xml:space="preserve"> is $</w:t>
      </w:r>
      <w:r>
        <w:t>14.4</w:t>
      </w:r>
      <w:r w:rsidRPr="005F19CB">
        <w:t xml:space="preserve"> million, or an annual increase of $</w:t>
      </w:r>
      <w:r>
        <w:t>12.1</w:t>
      </w:r>
      <w:r w:rsidRPr="005F19CB">
        <w:t xml:space="preserve"> million. </w:t>
      </w:r>
      <w:r>
        <w:t>This increase reflects the Company’s request</w:t>
      </w:r>
      <w:r w:rsidR="003932D8">
        <w:t xml:space="preserve"> to recover </w:t>
      </w:r>
      <w:r w:rsidRPr="005F19CB">
        <w:t xml:space="preserve">the </w:t>
      </w:r>
      <w:r>
        <w:t xml:space="preserve">projected net </w:t>
      </w:r>
      <w:r w:rsidRPr="005F19CB">
        <w:t xml:space="preserve">regulatory asset balance for </w:t>
      </w:r>
      <w:r>
        <w:t>environmental remediation</w:t>
      </w:r>
      <w:r w:rsidRPr="005F19CB">
        <w:t xml:space="preserve"> </w:t>
      </w:r>
      <w:r w:rsidR="00146464">
        <w:t xml:space="preserve">over </w:t>
      </w:r>
      <w:r w:rsidRPr="005F19CB">
        <w:t>the proposed three-year rate period</w:t>
      </w:r>
      <w:r w:rsidR="00F5312D">
        <w:t xml:space="preserve">.  </w:t>
      </w:r>
      <w:r w:rsidR="00E264C4">
        <w:t>This</w:t>
      </w:r>
      <w:r w:rsidR="00372F9D">
        <w:t xml:space="preserve"> is partially offset by a</w:t>
      </w:r>
      <w:r>
        <w:t xml:space="preserve"> decrease of </w:t>
      </w:r>
      <w:r w:rsidRPr="00640307">
        <w:t>$2.8 million</w:t>
      </w:r>
      <w:r w:rsidRPr="005F19CB">
        <w:t xml:space="preserve"> </w:t>
      </w:r>
      <w:r w:rsidR="00372F9D">
        <w:t>in</w:t>
      </w:r>
      <w:r w:rsidR="00F00A9C">
        <w:t xml:space="preserve"> the</w:t>
      </w:r>
      <w:r>
        <w:t xml:space="preserve"> </w:t>
      </w:r>
      <w:r w:rsidR="00F00A9C">
        <w:t xml:space="preserve">projected </w:t>
      </w:r>
      <w:r>
        <w:t>annual environmental remediation costs</w:t>
      </w:r>
      <w:r w:rsidR="00562905">
        <w:t>.</w:t>
      </w:r>
      <w:r>
        <w:t xml:space="preserve"> </w:t>
      </w:r>
      <w:r w:rsidRPr="005F19CB">
        <w:t xml:space="preserve">The methodology used to develop the </w:t>
      </w:r>
      <w:r>
        <w:t>annual accrual</w:t>
      </w:r>
      <w:r w:rsidRPr="005F19CB">
        <w:t xml:space="preserve"> is the same as approved by the Commission in previous cases</w:t>
      </w:r>
      <w:r w:rsidR="0079789E">
        <w:t xml:space="preserve"> and is shown in </w:t>
      </w:r>
      <w:r w:rsidR="0079789E" w:rsidRPr="005F19CB">
        <w:t>Exhibit___(</w:t>
      </w:r>
      <w:r w:rsidR="0079789E">
        <w:t>DPP/SPA/MBR</w:t>
      </w:r>
      <w:r w:rsidR="0079789E" w:rsidRPr="005F19CB">
        <w:t>-</w:t>
      </w:r>
      <w:r w:rsidR="0079789E">
        <w:t>5</w:t>
      </w:r>
      <w:r w:rsidR="0079789E" w:rsidRPr="005F19CB">
        <w:t xml:space="preserve">, Schedule </w:t>
      </w:r>
      <w:r w:rsidR="0079789E">
        <w:t>3</w:t>
      </w:r>
      <w:r w:rsidR="0079789E" w:rsidRPr="005F19CB">
        <w:t>).</w:t>
      </w:r>
      <w:r w:rsidR="0079789E" w:rsidRPr="005F19CB">
        <w:rPr>
          <w:b/>
        </w:rPr>
        <w:tab/>
      </w:r>
      <w:r w:rsidRPr="005F19CB">
        <w:rPr>
          <w:b/>
        </w:rPr>
        <w:tab/>
      </w:r>
    </w:p>
    <w:p w14:paraId="70902C3E" w14:textId="77777777" w:rsidR="007E53A1" w:rsidRDefault="007E53A1" w:rsidP="007E53A1">
      <w:pPr>
        <w:spacing w:line="360" w:lineRule="auto"/>
        <w:ind w:left="720" w:hanging="720"/>
        <w:jc w:val="both"/>
      </w:pPr>
    </w:p>
    <w:p w14:paraId="65FE435A" w14:textId="77777777" w:rsidR="007E53A1" w:rsidRPr="005F19CB" w:rsidRDefault="007E53A1" w:rsidP="007E53A1">
      <w:pPr>
        <w:spacing w:line="360" w:lineRule="auto"/>
        <w:ind w:left="720" w:hanging="720"/>
        <w:jc w:val="both"/>
        <w:rPr>
          <w:b/>
        </w:rPr>
      </w:pPr>
      <w:r w:rsidRPr="005F19CB">
        <w:rPr>
          <w:b/>
        </w:rPr>
        <w:t>Q.</w:t>
      </w:r>
      <w:r w:rsidRPr="005F19CB">
        <w:rPr>
          <w:b/>
        </w:rPr>
        <w:tab/>
        <w:t>PLEASE EXPLAIN THE ADJUSTMENT FOR THE FEES PAID BY THE COMPANY</w:t>
      </w:r>
      <w:r>
        <w:rPr>
          <w:b/>
        </w:rPr>
        <w:t xml:space="preserve"> FOR CONSULTANTS RETAINED BY THE COMMISSION STAFF</w:t>
      </w:r>
      <w:r w:rsidRPr="005F19CB">
        <w:rPr>
          <w:b/>
        </w:rPr>
        <w:t>.</w:t>
      </w:r>
    </w:p>
    <w:p w14:paraId="666AC536" w14:textId="77777777" w:rsidR="007E53A1" w:rsidRDefault="007E53A1" w:rsidP="007E53A1">
      <w:pPr>
        <w:spacing w:line="360" w:lineRule="auto"/>
        <w:ind w:left="720" w:hanging="720"/>
        <w:jc w:val="both"/>
      </w:pPr>
      <w:r w:rsidRPr="005F19CB">
        <w:t>A.</w:t>
      </w:r>
      <w:r w:rsidRPr="005F19CB">
        <w:tab/>
        <w:t>Based on O.C.G.A. § 46-2-33(a)</w:t>
      </w:r>
      <w:r>
        <w:t xml:space="preserve"> and the </w:t>
      </w:r>
      <w:r w:rsidR="00C95AE1">
        <w:t xml:space="preserve">May 28, 2019 </w:t>
      </w:r>
      <w:r>
        <w:t>Commission Order</w:t>
      </w:r>
      <w:r w:rsidRPr="005F19CB">
        <w:t xml:space="preserve">, the Company is </w:t>
      </w:r>
      <w:r>
        <w:t xml:space="preserve">required </w:t>
      </w:r>
      <w:r w:rsidRPr="005F19CB">
        <w:t>to provide up to $</w:t>
      </w:r>
      <w:r>
        <w:t>708</w:t>
      </w:r>
      <w:r w:rsidRPr="005F19CB">
        <w:t xml:space="preserve">,000 per case per year toward fees for reasonably necessary specialized testimony and assistance in </w:t>
      </w:r>
      <w:r>
        <w:t xml:space="preserve">certain </w:t>
      </w:r>
      <w:r w:rsidRPr="005F19CB">
        <w:t>proceedings initiated by the Company</w:t>
      </w:r>
      <w:r>
        <w:t xml:space="preserve">, with escalation provided on an annual basis based on the Consumer Price Index (CPI).  This adjustment reflects the Company’s projection of such costs not included in the Company’s budget.  </w:t>
      </w:r>
    </w:p>
    <w:p w14:paraId="291C8993" w14:textId="77777777" w:rsidR="007E53A1" w:rsidRDefault="007E53A1" w:rsidP="007E53A1">
      <w:pPr>
        <w:spacing w:line="360" w:lineRule="auto"/>
        <w:ind w:left="720" w:hanging="720"/>
        <w:jc w:val="both"/>
      </w:pPr>
    </w:p>
    <w:p w14:paraId="46D6A7E4" w14:textId="77777777" w:rsidR="007E53A1" w:rsidRPr="00B9605B" w:rsidRDefault="007E53A1" w:rsidP="007E53A1">
      <w:pPr>
        <w:spacing w:line="360" w:lineRule="auto"/>
        <w:ind w:left="720" w:hanging="720"/>
        <w:jc w:val="both"/>
        <w:rPr>
          <w:b/>
        </w:rPr>
      </w:pPr>
      <w:r w:rsidRPr="00B9605B">
        <w:rPr>
          <w:b/>
        </w:rPr>
        <w:t>Q.</w:t>
      </w:r>
      <w:r w:rsidRPr="00B9605B">
        <w:rPr>
          <w:b/>
        </w:rPr>
        <w:tab/>
      </w:r>
      <w:r w:rsidRPr="00BF2A66">
        <w:rPr>
          <w:b/>
        </w:rPr>
        <w:t>PLEASE</w:t>
      </w:r>
      <w:r w:rsidRPr="00B9605B">
        <w:rPr>
          <w:b/>
        </w:rPr>
        <w:t xml:space="preserve"> EXPLAIN THE ADJUSTMENT FOR THE </w:t>
      </w:r>
      <w:r>
        <w:rPr>
          <w:b/>
        </w:rPr>
        <w:t>PRORATION OF FEDERAL ADITS.</w:t>
      </w:r>
    </w:p>
    <w:p w14:paraId="001BFD06" w14:textId="4FD80B6A" w:rsidR="00BF5D09" w:rsidRDefault="007E53A1" w:rsidP="00BF5D09">
      <w:pPr>
        <w:spacing w:line="360" w:lineRule="auto"/>
        <w:ind w:left="720" w:hanging="720"/>
        <w:jc w:val="both"/>
      </w:pPr>
      <w:r>
        <w:t>A.</w:t>
      </w:r>
      <w:r>
        <w:tab/>
      </w:r>
      <w:r w:rsidR="00590D4E">
        <w:t>The Company’s calculations to determine federal ADIT</w:t>
      </w:r>
      <w:r w:rsidR="00CB3E21">
        <w:t>s</w:t>
      </w:r>
      <w:r w:rsidR="00590D4E">
        <w:t xml:space="preserve"> conforms with </w:t>
      </w:r>
      <w:r>
        <w:t>I</w:t>
      </w:r>
      <w:r w:rsidRPr="005F19CB">
        <w:t>nternal Revenue Code Section 167(</w:t>
      </w:r>
      <w:r w:rsidRPr="005F19CB">
        <w:rPr>
          <w:i/>
        </w:rPr>
        <w:t>l</w:t>
      </w:r>
      <w:r w:rsidRPr="005F19CB">
        <w:t>)</w:t>
      </w:r>
      <w:r w:rsidR="00590D4E">
        <w:t>, which</w:t>
      </w:r>
      <w:r w:rsidRPr="005F19CB">
        <w:t xml:space="preserve"> </w:t>
      </w:r>
      <w:r>
        <w:t>requires the federal ADITs provided under its</w:t>
      </w:r>
      <w:r w:rsidRPr="005F19CB">
        <w:t xml:space="preserve"> normalization rules </w:t>
      </w:r>
      <w:r>
        <w:t xml:space="preserve">to be </w:t>
      </w:r>
      <w:r w:rsidR="003809F9">
        <w:t>prorated or</w:t>
      </w:r>
      <w:r>
        <w:t xml:space="preserve"> weighted</w:t>
      </w:r>
      <w:r w:rsidRPr="005F19CB">
        <w:t xml:space="preserve"> by the number of days in each month instead of a 13-month average</w:t>
      </w:r>
      <w:r>
        <w:t>, when included in the revenue requirement for setting rates</w:t>
      </w:r>
      <w:r w:rsidRPr="005F19CB">
        <w:t>.</w:t>
      </w:r>
      <w:r w:rsidR="00BF5D09">
        <w:br w:type="page"/>
      </w:r>
    </w:p>
    <w:p w14:paraId="1FE7CF46" w14:textId="77777777" w:rsidR="007E53A1" w:rsidRPr="005F19CB" w:rsidRDefault="007E53A1" w:rsidP="007E53A1">
      <w:pPr>
        <w:spacing w:line="360" w:lineRule="auto"/>
        <w:ind w:left="720" w:hanging="720"/>
        <w:jc w:val="both"/>
        <w:rPr>
          <w:b/>
        </w:rPr>
      </w:pPr>
      <w:r w:rsidRPr="005F19CB">
        <w:rPr>
          <w:b/>
        </w:rPr>
        <w:lastRenderedPageBreak/>
        <w:t>Q.</w:t>
      </w:r>
      <w:r w:rsidRPr="005F19CB">
        <w:rPr>
          <w:b/>
        </w:rPr>
        <w:tab/>
        <w:t xml:space="preserve">PLEASE EXPLAIN THE </w:t>
      </w:r>
      <w:r>
        <w:rPr>
          <w:b/>
        </w:rPr>
        <w:t>TEST PERIOD</w:t>
      </w:r>
      <w:r w:rsidRPr="005F19CB">
        <w:rPr>
          <w:b/>
        </w:rPr>
        <w:t xml:space="preserve"> NORMALIZATION ADJUSTMENT</w:t>
      </w:r>
      <w:r>
        <w:rPr>
          <w:b/>
        </w:rPr>
        <w:t>S</w:t>
      </w:r>
      <w:r w:rsidRPr="005F19CB">
        <w:rPr>
          <w:b/>
        </w:rPr>
        <w:t xml:space="preserve"> </w:t>
      </w:r>
      <w:r>
        <w:rPr>
          <w:b/>
        </w:rPr>
        <w:t>IN</w:t>
      </w:r>
      <w:r w:rsidRPr="005F19CB">
        <w:rPr>
          <w:b/>
        </w:rPr>
        <w:t xml:space="preserve"> THE </w:t>
      </w:r>
      <w:r>
        <w:rPr>
          <w:b/>
        </w:rPr>
        <w:t>FILING</w:t>
      </w:r>
      <w:r w:rsidRPr="005F19CB">
        <w:rPr>
          <w:b/>
        </w:rPr>
        <w:t>.</w:t>
      </w:r>
    </w:p>
    <w:p w14:paraId="1B077B6F" w14:textId="61917CB5" w:rsidR="007E53A1" w:rsidRDefault="007E53A1" w:rsidP="007E53A1">
      <w:pPr>
        <w:spacing w:line="360" w:lineRule="auto"/>
        <w:ind w:left="720" w:hanging="720"/>
        <w:jc w:val="both"/>
      </w:pPr>
      <w:r w:rsidRPr="005F19CB">
        <w:t>A.</w:t>
      </w:r>
      <w:r w:rsidRPr="005F19CB">
        <w:tab/>
        <w:t xml:space="preserve">These adjustments </w:t>
      </w:r>
      <w:r>
        <w:t>provide for certain revenues and expenses</w:t>
      </w:r>
      <w:r w:rsidRPr="005F19CB">
        <w:t xml:space="preserve"> to </w:t>
      </w:r>
      <w:r>
        <w:t xml:space="preserve">be </w:t>
      </w:r>
      <w:r w:rsidRPr="005F19CB">
        <w:t>normalize</w:t>
      </w:r>
      <w:r>
        <w:t>d</w:t>
      </w:r>
      <w:r w:rsidRPr="005F19CB">
        <w:t xml:space="preserve"> in the test period </w:t>
      </w:r>
      <w:r>
        <w:t>to align the revenue requirement impact of those adjustments and the effective date of the proposed base rates. Therefore,</w:t>
      </w:r>
      <w:r w:rsidRPr="005F19CB">
        <w:t xml:space="preserve"> customer</w:t>
      </w:r>
      <w:r>
        <w:t>s are</w:t>
      </w:r>
      <w:r w:rsidRPr="005F19CB">
        <w:t xml:space="preserve"> not charged for costs </w:t>
      </w:r>
      <w:r>
        <w:t xml:space="preserve">or credited for revenues </w:t>
      </w:r>
      <w:r w:rsidRPr="005F19CB">
        <w:t xml:space="preserve">that </w:t>
      </w:r>
      <w:r>
        <w:t>are included</w:t>
      </w:r>
      <w:r w:rsidRPr="005F19CB">
        <w:t xml:space="preserve"> in the test period </w:t>
      </w:r>
      <w:r>
        <w:t>but are eliminated effective January 1, 2020; and likewise, the adjustments include revenues or costs that begin January 1, 2020 and should be included for the full year in the test period revenue requirement</w:t>
      </w:r>
      <w:r w:rsidRPr="005F19CB">
        <w:t xml:space="preserve">.  </w:t>
      </w:r>
      <w:r>
        <w:t xml:space="preserve">These normalization items primarily consist of changes in expenses such as changes in depreciation rates and recovery of AROs, and new amortization of regulatory assets or liabilities such as </w:t>
      </w:r>
      <w:r w:rsidR="00146464">
        <w:t xml:space="preserve">those related to </w:t>
      </w:r>
      <w:r>
        <w:t xml:space="preserve">tax reform and obsolete inventory at retired plants.   </w:t>
      </w:r>
    </w:p>
    <w:p w14:paraId="09172459" w14:textId="77777777" w:rsidR="007E53A1" w:rsidRDefault="007E53A1" w:rsidP="007E53A1">
      <w:pPr>
        <w:spacing w:line="360" w:lineRule="auto"/>
        <w:ind w:left="720" w:hanging="720"/>
        <w:jc w:val="both"/>
      </w:pPr>
    </w:p>
    <w:p w14:paraId="57DA27B2" w14:textId="77777777" w:rsidR="007E53A1" w:rsidRDefault="007E53A1" w:rsidP="007E53A1">
      <w:pPr>
        <w:spacing w:line="360" w:lineRule="auto"/>
        <w:ind w:left="720"/>
        <w:jc w:val="both"/>
      </w:pPr>
      <w:r w:rsidRPr="00743262">
        <w:t>These adjustments are consistent with the Commission’s prior precedent and in accord</w:t>
      </w:r>
      <w:r>
        <w:t>ance</w:t>
      </w:r>
      <w:r w:rsidRPr="00743262">
        <w:t xml:space="preserve"> with general ratemaking principles</w:t>
      </w:r>
      <w:r>
        <w:t>.  All of the costs were incurred in order to provide service to customers and under the approval of the Commission.</w:t>
      </w:r>
    </w:p>
    <w:p w14:paraId="6731CECC" w14:textId="77777777" w:rsidR="007E53A1" w:rsidRPr="005F19CB" w:rsidRDefault="007E53A1" w:rsidP="007E53A1">
      <w:pPr>
        <w:spacing w:line="360" w:lineRule="auto"/>
        <w:ind w:left="720" w:hanging="720"/>
        <w:jc w:val="both"/>
      </w:pPr>
    </w:p>
    <w:p w14:paraId="7CD760F7" w14:textId="77777777" w:rsidR="007E53A1" w:rsidRDefault="007E53A1" w:rsidP="007E53A1">
      <w:pPr>
        <w:spacing w:line="360" w:lineRule="auto"/>
        <w:ind w:left="720" w:hanging="720"/>
        <w:jc w:val="both"/>
        <w:rPr>
          <w:b/>
        </w:rPr>
      </w:pPr>
      <w:r w:rsidRPr="005F19CB">
        <w:rPr>
          <w:b/>
        </w:rPr>
        <w:t>Q.</w:t>
      </w:r>
      <w:r w:rsidRPr="005F19CB">
        <w:rPr>
          <w:b/>
        </w:rPr>
        <w:tab/>
        <w:t xml:space="preserve">WHAT NEW ADJUSTMENTS OR ACCOUNTING ITEMS ARE INCLUDED IN THE </w:t>
      </w:r>
      <w:r>
        <w:rPr>
          <w:b/>
        </w:rPr>
        <w:t>FILING</w:t>
      </w:r>
      <w:r w:rsidRPr="005F19CB">
        <w:rPr>
          <w:b/>
        </w:rPr>
        <w:t xml:space="preserve"> THAT HAVE NOT BEEN INCLUDED IN PREVIOUS CASES?</w:t>
      </w:r>
    </w:p>
    <w:p w14:paraId="6DAFE368" w14:textId="77777777" w:rsidR="007E53A1" w:rsidRDefault="007E53A1" w:rsidP="007E53A1">
      <w:pPr>
        <w:spacing w:line="360" w:lineRule="auto"/>
        <w:ind w:left="720" w:hanging="720"/>
        <w:jc w:val="both"/>
      </w:pPr>
      <w:r w:rsidRPr="00185C16">
        <w:t>A.</w:t>
      </w:r>
      <w:r w:rsidRPr="00185C16">
        <w:tab/>
        <w:t xml:space="preserve">The </w:t>
      </w:r>
      <w:r>
        <w:t>Company has included the following adjustments:</w:t>
      </w:r>
    </w:p>
    <w:p w14:paraId="0FB3FA68" w14:textId="5FC452EC" w:rsidR="007E53A1" w:rsidRDefault="007E53A1" w:rsidP="007E53A1">
      <w:pPr>
        <w:spacing w:line="360" w:lineRule="auto"/>
        <w:ind w:left="1080" w:hanging="1080"/>
        <w:jc w:val="both"/>
      </w:pPr>
      <w:r>
        <w:tab/>
        <w:t xml:space="preserve">1.  </w:t>
      </w:r>
      <w:r>
        <w:tab/>
        <w:t xml:space="preserve">Excess ADITs and Deferred Tax Savings resulting from </w:t>
      </w:r>
      <w:r w:rsidR="001130BC">
        <w:t xml:space="preserve">the </w:t>
      </w:r>
      <w:r>
        <w:t>Tax Reform</w:t>
      </w:r>
      <w:r w:rsidR="00013ADC">
        <w:t xml:space="preserve"> Act</w:t>
      </w:r>
    </w:p>
    <w:p w14:paraId="069A115F" w14:textId="77777777" w:rsidR="007E53A1" w:rsidRDefault="007E53A1" w:rsidP="007E53A1">
      <w:pPr>
        <w:spacing w:line="360" w:lineRule="auto"/>
        <w:ind w:left="1080"/>
        <w:jc w:val="both"/>
      </w:pPr>
      <w:r>
        <w:t>2.</w:t>
      </w:r>
      <w:r>
        <w:tab/>
      </w:r>
      <w:r w:rsidR="001130BC">
        <w:t xml:space="preserve">Amortization of </w:t>
      </w:r>
      <w:r>
        <w:t>Future Nuclear costs</w:t>
      </w:r>
    </w:p>
    <w:p w14:paraId="5F9915B8" w14:textId="77777777" w:rsidR="007E53A1" w:rsidRDefault="007E53A1" w:rsidP="007E53A1">
      <w:pPr>
        <w:spacing w:line="360" w:lineRule="auto"/>
        <w:ind w:left="1080"/>
        <w:jc w:val="both"/>
      </w:pPr>
      <w:r>
        <w:t>3.</w:t>
      </w:r>
      <w:r>
        <w:tab/>
      </w:r>
      <w:r w:rsidR="001130BC">
        <w:t xml:space="preserve">Amortization of </w:t>
      </w:r>
      <w:r>
        <w:t xml:space="preserve">Obsolete Inventory of Decertified Plants </w:t>
      </w:r>
    </w:p>
    <w:p w14:paraId="0EE31421" w14:textId="77777777" w:rsidR="007E53A1" w:rsidRDefault="007E53A1" w:rsidP="00C145B1">
      <w:pPr>
        <w:spacing w:line="360" w:lineRule="auto"/>
        <w:ind w:left="1080" w:hanging="1080"/>
        <w:jc w:val="both"/>
      </w:pPr>
      <w:r>
        <w:t xml:space="preserve"> </w:t>
      </w:r>
      <w:r>
        <w:tab/>
        <w:t>4.</w:t>
      </w:r>
      <w:r>
        <w:tab/>
      </w:r>
      <w:r w:rsidR="001130BC">
        <w:t xml:space="preserve">Amortization of </w:t>
      </w:r>
      <w:r>
        <w:t>Net Book Value (“NBV”) of Plant Mitchell Unit 3</w:t>
      </w:r>
    </w:p>
    <w:p w14:paraId="3887F920" w14:textId="77777777" w:rsidR="007E53A1" w:rsidRDefault="00A15682" w:rsidP="007E53A1">
      <w:pPr>
        <w:spacing w:line="360" w:lineRule="auto"/>
        <w:ind w:left="1080"/>
        <w:jc w:val="both"/>
      </w:pPr>
      <w:r>
        <w:t>5.</w:t>
      </w:r>
      <w:r w:rsidR="00792FAB">
        <w:t xml:space="preserve">   </w:t>
      </w:r>
      <w:r w:rsidR="007E53A1">
        <w:t xml:space="preserve">Accounting for </w:t>
      </w:r>
      <w:r w:rsidR="00792FAB">
        <w:t>Software Costs</w:t>
      </w:r>
    </w:p>
    <w:p w14:paraId="536D10DF" w14:textId="426D0C68" w:rsidR="007E53A1" w:rsidRDefault="007E53A1" w:rsidP="007E53A1">
      <w:pPr>
        <w:spacing w:line="360" w:lineRule="auto"/>
        <w:ind w:left="1080" w:hanging="1080"/>
        <w:jc w:val="both"/>
      </w:pPr>
      <w:r>
        <w:tab/>
      </w:r>
      <w:r w:rsidR="00A15682">
        <w:t>6.</w:t>
      </w:r>
      <w:r>
        <w:tab/>
      </w:r>
      <w:r w:rsidR="00146464">
        <w:t>Recovery of Electric Transportation Costs</w:t>
      </w:r>
    </w:p>
    <w:p w14:paraId="519C3D4D" w14:textId="2CBE56A7" w:rsidR="00BF5D09" w:rsidRDefault="007E53A1" w:rsidP="00BF5D09">
      <w:pPr>
        <w:spacing w:line="360" w:lineRule="auto"/>
        <w:ind w:left="1080" w:hanging="1080"/>
        <w:jc w:val="both"/>
      </w:pPr>
      <w:r>
        <w:tab/>
      </w:r>
      <w:r w:rsidR="00A15682">
        <w:t>7.</w:t>
      </w:r>
      <w:r>
        <w:tab/>
      </w:r>
      <w:r w:rsidR="00146464">
        <w:t>Gains and Losses on Disposition of Utility Land</w:t>
      </w:r>
      <w:r w:rsidR="00BF5D09">
        <w:br w:type="page"/>
      </w:r>
    </w:p>
    <w:p w14:paraId="71E89DF8" w14:textId="6A6FB5DD" w:rsidR="007E53A1" w:rsidRDefault="007E53A1" w:rsidP="007E53A1">
      <w:pPr>
        <w:spacing w:line="360" w:lineRule="auto"/>
        <w:ind w:left="720" w:hanging="720"/>
        <w:jc w:val="both"/>
        <w:rPr>
          <w:b/>
        </w:rPr>
      </w:pPr>
      <w:r w:rsidRPr="00B1421B">
        <w:rPr>
          <w:b/>
        </w:rPr>
        <w:lastRenderedPageBreak/>
        <w:t>Q.</w:t>
      </w:r>
      <w:r w:rsidRPr="00B1421B">
        <w:rPr>
          <w:b/>
        </w:rPr>
        <w:tab/>
      </w:r>
      <w:r w:rsidRPr="00437A94">
        <w:rPr>
          <w:b/>
        </w:rPr>
        <w:t xml:space="preserve">PLEASE DESCRIBE THE IMPACTS OF THE TAX CUTS AND JOBS ACT AND THE COMMISSION APPROVAL OF THE TAX REFORM </w:t>
      </w:r>
      <w:r w:rsidR="00084D1B">
        <w:rPr>
          <w:b/>
        </w:rPr>
        <w:t xml:space="preserve">ACT </w:t>
      </w:r>
      <w:r w:rsidRPr="00437A94">
        <w:rPr>
          <w:b/>
        </w:rPr>
        <w:t>SETTLEMENT.</w:t>
      </w:r>
    </w:p>
    <w:p w14:paraId="04011B9F" w14:textId="3F430781" w:rsidR="007E53A1" w:rsidRDefault="007E53A1" w:rsidP="007E53A1">
      <w:pPr>
        <w:tabs>
          <w:tab w:val="left" w:pos="2474"/>
        </w:tabs>
        <w:spacing w:line="360" w:lineRule="auto"/>
        <w:ind w:left="720" w:hanging="720"/>
        <w:jc w:val="both"/>
      </w:pPr>
      <w:r>
        <w:t>A.</w:t>
      </w:r>
      <w:r>
        <w:tab/>
        <w:t xml:space="preserve">In December 2017, the </w:t>
      </w:r>
      <w:r w:rsidR="00C145B1">
        <w:t>Tax Reform Act</w:t>
      </w:r>
      <w:r>
        <w:t xml:space="preserve"> was signed into law which lowered the federal </w:t>
      </w:r>
      <w:r w:rsidR="00C145B1">
        <w:t xml:space="preserve">corporate </w:t>
      </w:r>
      <w:r>
        <w:t>income tax rate from 35% to 21%, effective January 1, 2018</w:t>
      </w:r>
      <w:r w:rsidR="00E67254">
        <w:t xml:space="preserve">.  </w:t>
      </w:r>
      <w:r>
        <w:t xml:space="preserve">In March 2018, the Company and Commission Staff </w:t>
      </w:r>
      <w:r w:rsidR="00D362E8">
        <w:t xml:space="preserve">executed the Tax Reform Act Settlement, which addressed </w:t>
      </w:r>
      <w:r>
        <w:t xml:space="preserve">the impacts of </w:t>
      </w:r>
      <w:r w:rsidR="00D362E8">
        <w:t xml:space="preserve">the Tax Reform Act </w:t>
      </w:r>
      <w:r>
        <w:t>on retail cost of service</w:t>
      </w:r>
      <w:r w:rsidR="00D362E8">
        <w:t xml:space="preserve">.  The settlement </w:t>
      </w:r>
      <w:r>
        <w:t>was subsequently approved by the Commission</w:t>
      </w:r>
      <w:r w:rsidR="00E67254">
        <w:t xml:space="preserve">.  </w:t>
      </w:r>
      <w:r>
        <w:t>Following the change in federal income tax rate, the state income tax rate was also changed from 6.00% to 5.75%, effective January 1, 2019, for seven years through 2025</w:t>
      </w:r>
      <w:r w:rsidR="00E67254">
        <w:t xml:space="preserve">.  </w:t>
      </w:r>
      <w:r>
        <w:t xml:space="preserve">The Tax Reform </w:t>
      </w:r>
      <w:r w:rsidR="00084D1B">
        <w:t xml:space="preserve">Act </w:t>
      </w:r>
      <w:r>
        <w:t xml:space="preserve">Settlement provides significant savings for customers both short-term and long-term while addressing the Company’s need to mitigate the negative impact of the legislation on the Company’s credit metrics. </w:t>
      </w:r>
    </w:p>
    <w:p w14:paraId="398D6539" w14:textId="77777777" w:rsidR="007E53A1" w:rsidRDefault="007E53A1" w:rsidP="007E53A1">
      <w:pPr>
        <w:tabs>
          <w:tab w:val="left" w:pos="2474"/>
        </w:tabs>
        <w:spacing w:line="360" w:lineRule="auto"/>
        <w:ind w:left="720" w:hanging="720"/>
        <w:jc w:val="both"/>
      </w:pPr>
    </w:p>
    <w:p w14:paraId="007119F9" w14:textId="6751A2E2" w:rsidR="007E53A1" w:rsidRDefault="007E53A1" w:rsidP="007E53A1">
      <w:pPr>
        <w:tabs>
          <w:tab w:val="left" w:pos="2474"/>
        </w:tabs>
        <w:spacing w:line="360" w:lineRule="auto"/>
        <w:ind w:left="720" w:hanging="720"/>
        <w:jc w:val="both"/>
      </w:pPr>
      <w:r>
        <w:tab/>
        <w:t xml:space="preserve">Specifically, the Tax Reform </w:t>
      </w:r>
      <w:r w:rsidR="00084D1B">
        <w:t xml:space="preserve">Act </w:t>
      </w:r>
      <w:r>
        <w:t>Settlement provides retail customers:</w:t>
      </w:r>
    </w:p>
    <w:p w14:paraId="0DFE05E8" w14:textId="77777777" w:rsidR="007E53A1" w:rsidRDefault="007E53A1" w:rsidP="00623F66">
      <w:pPr>
        <w:pStyle w:val="ListParagraph"/>
        <w:numPr>
          <w:ilvl w:val="0"/>
          <w:numId w:val="8"/>
        </w:numPr>
        <w:tabs>
          <w:tab w:val="left" w:pos="2474"/>
        </w:tabs>
        <w:spacing w:line="360" w:lineRule="auto"/>
        <w:jc w:val="both"/>
      </w:pPr>
      <w:r>
        <w:t>Refunds of $330 million of revenue collected in 2018 and 2019 for reduction in federal income tax rates effective in 2018 and 2019</w:t>
      </w:r>
      <w:r w:rsidR="00C249F1">
        <w:t>;</w:t>
      </w:r>
    </w:p>
    <w:p w14:paraId="65353B58" w14:textId="4CF50E9A" w:rsidR="007E53A1" w:rsidRDefault="0039588C" w:rsidP="00623F66">
      <w:pPr>
        <w:pStyle w:val="ListParagraph"/>
        <w:numPr>
          <w:ilvl w:val="0"/>
          <w:numId w:val="8"/>
        </w:numPr>
        <w:tabs>
          <w:tab w:val="left" w:pos="2474"/>
        </w:tabs>
        <w:spacing w:line="360" w:lineRule="auto"/>
        <w:jc w:val="both"/>
      </w:pPr>
      <w:r>
        <w:t xml:space="preserve">The </w:t>
      </w:r>
      <w:r w:rsidR="00FC40FF">
        <w:t>deferral of a</w:t>
      </w:r>
      <w:r w:rsidR="007E53A1">
        <w:t xml:space="preserve">ll </w:t>
      </w:r>
      <w:r w:rsidR="00236501">
        <w:t xml:space="preserve">retail </w:t>
      </w:r>
      <w:r w:rsidR="007E53A1">
        <w:t>federal unprotected and protected excess ADITs</w:t>
      </w:r>
      <w:r w:rsidR="00FC40FF">
        <w:t xml:space="preserve"> to be considered in this case</w:t>
      </w:r>
      <w:r w:rsidR="00C249F1">
        <w:t>; and</w:t>
      </w:r>
      <w:r w:rsidR="000C2CD6">
        <w:t xml:space="preserve"> </w:t>
      </w:r>
    </w:p>
    <w:p w14:paraId="46328ECD" w14:textId="1D1FFDB1" w:rsidR="007E53A1" w:rsidRDefault="00FC40FF" w:rsidP="00623F66">
      <w:pPr>
        <w:pStyle w:val="ListParagraph"/>
        <w:numPr>
          <w:ilvl w:val="0"/>
          <w:numId w:val="8"/>
        </w:numPr>
        <w:tabs>
          <w:tab w:val="left" w:pos="2474"/>
        </w:tabs>
        <w:spacing w:line="360" w:lineRule="auto"/>
        <w:jc w:val="both"/>
      </w:pPr>
      <w:r>
        <w:t>The deferral of a</w:t>
      </w:r>
      <w:r w:rsidR="007E53A1">
        <w:t xml:space="preserve">ll </w:t>
      </w:r>
      <w:r w:rsidR="00236501">
        <w:t xml:space="preserve">retail </w:t>
      </w:r>
      <w:r w:rsidR="007E53A1">
        <w:t>state excess ADITs and tax savings as a result of the reduction in state income tax rates</w:t>
      </w:r>
      <w:r w:rsidR="00146464">
        <w:t xml:space="preserve"> to be considered in this case</w:t>
      </w:r>
      <w:r w:rsidR="00C249F1">
        <w:t>.</w:t>
      </w:r>
    </w:p>
    <w:p w14:paraId="1C9D18F4" w14:textId="77777777" w:rsidR="007E53A1" w:rsidRDefault="007E53A1" w:rsidP="007E53A1">
      <w:pPr>
        <w:tabs>
          <w:tab w:val="left" w:pos="2474"/>
        </w:tabs>
        <w:spacing w:line="360" w:lineRule="auto"/>
        <w:ind w:left="720"/>
        <w:jc w:val="both"/>
      </w:pPr>
    </w:p>
    <w:p w14:paraId="2949781A" w14:textId="75790A5B" w:rsidR="00BF5D09" w:rsidRDefault="007E53A1" w:rsidP="00BF5D09">
      <w:pPr>
        <w:tabs>
          <w:tab w:val="left" w:pos="2474"/>
        </w:tabs>
        <w:spacing w:line="360" w:lineRule="auto"/>
        <w:ind w:left="720"/>
        <w:jc w:val="both"/>
      </w:pPr>
      <w:r>
        <w:t xml:space="preserve">Although the legislation provides income tax savings to the Company, and therefore to customers, it has a </w:t>
      </w:r>
      <w:r w:rsidR="00FC40FF">
        <w:t xml:space="preserve">negative </w:t>
      </w:r>
      <w:r>
        <w:t xml:space="preserve">impact to the Company’s cash flow metrics </w:t>
      </w:r>
      <w:r w:rsidR="00C249F1">
        <w:t xml:space="preserve">because </w:t>
      </w:r>
      <w:r>
        <w:t>it eliminate</w:t>
      </w:r>
      <w:r w:rsidR="0099652B">
        <w:t>s</w:t>
      </w:r>
      <w:r>
        <w:t xml:space="preserve"> bonus depreciation tax deduction on future capital </w:t>
      </w:r>
      <w:r w:rsidR="003B48E5">
        <w:t>assets and</w:t>
      </w:r>
      <w:r>
        <w:t xml:space="preserve"> lower</w:t>
      </w:r>
      <w:r w:rsidR="0099652B">
        <w:t>s</w:t>
      </w:r>
      <w:r>
        <w:t xml:space="preserve"> the level of</w:t>
      </w:r>
      <w:r w:rsidR="0099652B">
        <w:t xml:space="preserve"> deferrable</w:t>
      </w:r>
      <w:r>
        <w:t xml:space="preserve"> income taxes</w:t>
      </w:r>
      <w:r w:rsidR="00EC1798">
        <w:t xml:space="preserve"> </w:t>
      </w:r>
      <w:r>
        <w:t>going forward. To partially mitigate this impact, the Commiss</w:t>
      </w:r>
      <w:r w:rsidR="00C249F1">
        <w:t>i</w:t>
      </w:r>
      <w:r>
        <w:t>on allowed the Company to increase its common equity ratio to the lower of the actual common equity structure or 55%.</w:t>
      </w:r>
      <w:r w:rsidR="00BF5D09">
        <w:br w:type="page"/>
      </w:r>
    </w:p>
    <w:p w14:paraId="02914B99" w14:textId="77777777" w:rsidR="007E53A1" w:rsidRDefault="007E53A1" w:rsidP="007E53A1">
      <w:pPr>
        <w:spacing w:line="360" w:lineRule="auto"/>
        <w:ind w:left="720" w:hanging="720"/>
        <w:jc w:val="both"/>
        <w:rPr>
          <w:b/>
        </w:rPr>
      </w:pPr>
      <w:r w:rsidRPr="00B1421B">
        <w:rPr>
          <w:b/>
        </w:rPr>
        <w:lastRenderedPageBreak/>
        <w:t>Q.</w:t>
      </w:r>
      <w:r w:rsidRPr="00B1421B">
        <w:rPr>
          <w:b/>
        </w:rPr>
        <w:tab/>
      </w:r>
      <w:r>
        <w:rPr>
          <w:b/>
        </w:rPr>
        <w:t xml:space="preserve">WHAT IS THE IMPACT OF TAX REFORM ON THE COMPANY’S REVENUE REQUIREMENT IN THIS </w:t>
      </w:r>
      <w:r w:rsidRPr="000C2D20">
        <w:rPr>
          <w:b/>
        </w:rPr>
        <w:t>FILING</w:t>
      </w:r>
      <w:r>
        <w:rPr>
          <w:b/>
        </w:rPr>
        <w:t>?</w:t>
      </w:r>
    </w:p>
    <w:p w14:paraId="1B0DF15E" w14:textId="0865BF08" w:rsidR="007E53A1" w:rsidRDefault="007E53A1" w:rsidP="007E53A1">
      <w:pPr>
        <w:spacing w:line="360" w:lineRule="auto"/>
        <w:ind w:left="720" w:hanging="720"/>
        <w:jc w:val="both"/>
      </w:pPr>
      <w:r w:rsidRPr="000C2D20">
        <w:t>A.</w:t>
      </w:r>
      <w:r w:rsidRPr="000C2D20">
        <w:tab/>
      </w:r>
      <w:r>
        <w:t xml:space="preserve">The Company’s revenue requirements for the test period and calendar years 2020 through 2022 reflect the lower federal and state income tax rates in these income tax calculations, resulting in a lower income tax requirement for customers. </w:t>
      </w:r>
      <w:r w:rsidR="00146464">
        <w:t xml:space="preserve"> In addition, as it relates to the unprotected ADITs and state tax savings in 2018 and 2019 deferred for consideration in this case, the Company is proposing to amortize these items, representing approximately $6</w:t>
      </w:r>
      <w:r w:rsidR="0072223D">
        <w:t>70</w:t>
      </w:r>
      <w:r w:rsidR="00146464">
        <w:t xml:space="preserve"> million, for the benefit of customers over the three years covered by this ARP</w:t>
      </w:r>
      <w:r w:rsidR="00D1056F">
        <w:t xml:space="preserve">.  </w:t>
      </w:r>
      <w:r>
        <w:t>Protected ADITs related to tax depreciation are included in rate base using the average rate assumption method (</w:t>
      </w:r>
      <w:r w:rsidR="00B0554D">
        <w:t>“</w:t>
      </w:r>
      <w:r>
        <w:t>ARAM</w:t>
      </w:r>
      <w:r w:rsidR="00B0554D">
        <w:t>”</w:t>
      </w:r>
      <w:r>
        <w:t>) as required by the Internal Revenue Service normalization rules in order to continue giving customers the significant tax benefits of accelerated depreciation.</w:t>
      </w:r>
    </w:p>
    <w:p w14:paraId="00F17341" w14:textId="77777777" w:rsidR="007E53A1" w:rsidRDefault="007E53A1" w:rsidP="007E53A1">
      <w:pPr>
        <w:spacing w:line="360" w:lineRule="auto"/>
        <w:ind w:left="720" w:hanging="720"/>
        <w:jc w:val="both"/>
      </w:pPr>
    </w:p>
    <w:p w14:paraId="76C1A214" w14:textId="6E360885" w:rsidR="007E53A1" w:rsidRDefault="007E53A1" w:rsidP="007E53A1">
      <w:pPr>
        <w:spacing w:line="360" w:lineRule="auto"/>
        <w:ind w:left="720"/>
        <w:jc w:val="both"/>
      </w:pPr>
      <w:r>
        <w:t xml:space="preserve">For federal protected excess ADITs, the amortization is also required to follow ARAM under the Internal Revenue Service normalization rules. Beyond the deferral period of these benefits in 2018 and 2019, </w:t>
      </w:r>
      <w:r w:rsidR="00B0554D">
        <w:t>c</w:t>
      </w:r>
      <w:r>
        <w:t xml:space="preserve">ustomers will receive the benefit of this amortization in 2020 through 2022 through the credits reflected in the income tax calculation, which reduces revenue requirement by approximately $65 million annually. </w:t>
      </w:r>
    </w:p>
    <w:p w14:paraId="29F1C583" w14:textId="77777777" w:rsidR="00D62A59" w:rsidRPr="000C2D20" w:rsidRDefault="00D62A59" w:rsidP="007E53A1">
      <w:pPr>
        <w:spacing w:line="360" w:lineRule="auto"/>
        <w:ind w:left="720"/>
        <w:jc w:val="both"/>
      </w:pPr>
    </w:p>
    <w:p w14:paraId="5CB60D04" w14:textId="77777777" w:rsidR="006C006B" w:rsidRPr="005F19CB" w:rsidRDefault="006C006B" w:rsidP="006C006B">
      <w:pPr>
        <w:keepNext/>
        <w:tabs>
          <w:tab w:val="left" w:pos="720"/>
        </w:tabs>
        <w:spacing w:line="360" w:lineRule="auto"/>
        <w:ind w:left="720" w:hanging="720"/>
        <w:jc w:val="both"/>
        <w:rPr>
          <w:b/>
        </w:rPr>
      </w:pPr>
      <w:r>
        <w:rPr>
          <w:b/>
        </w:rPr>
        <w:t>Q.</w:t>
      </w:r>
      <w:r>
        <w:rPr>
          <w:b/>
        </w:rPr>
        <w:tab/>
      </w:r>
      <w:r w:rsidRPr="005F19CB">
        <w:rPr>
          <w:b/>
        </w:rPr>
        <w:t>WHAT TAXES DOES THE COMPANY PAY?</w:t>
      </w:r>
    </w:p>
    <w:p w14:paraId="4F1E441E" w14:textId="77777777" w:rsidR="006C006B" w:rsidRDefault="006C006B" w:rsidP="006C006B">
      <w:pPr>
        <w:keepNext/>
        <w:spacing w:line="360" w:lineRule="auto"/>
        <w:ind w:left="720" w:hanging="720"/>
        <w:jc w:val="both"/>
      </w:pPr>
      <w:r w:rsidRPr="005F19CB">
        <w:t>A.</w:t>
      </w:r>
      <w:r w:rsidRPr="005F19CB">
        <w:tab/>
        <w:t xml:space="preserve">The Company pays </w:t>
      </w:r>
      <w:r>
        <w:t>f</w:t>
      </w:r>
      <w:r w:rsidRPr="005F19CB">
        <w:t xml:space="preserve">ederal and </w:t>
      </w:r>
      <w:r>
        <w:t>s</w:t>
      </w:r>
      <w:r w:rsidRPr="005F19CB">
        <w:t xml:space="preserve">tate income taxes, local property taxes, sales and use taxes, </w:t>
      </w:r>
      <w:r w:rsidR="00EC1798">
        <w:t xml:space="preserve">payroll taxes </w:t>
      </w:r>
      <w:r w:rsidRPr="005F19CB">
        <w:t>and several other miscellaneous taxes.  Taxes other than income taxes are shown on Exhibit___(</w:t>
      </w:r>
      <w:r>
        <w:t>DPP/SPA/MBR</w:t>
      </w:r>
      <w:r w:rsidRPr="005F19CB">
        <w:t>-</w:t>
      </w:r>
      <w:r w:rsidR="00EC1798">
        <w:t>5</w:t>
      </w:r>
      <w:r w:rsidRPr="005F19CB">
        <w:t xml:space="preserve">, Schedule 5) and the computation of income taxes is shown on </w:t>
      </w:r>
      <w:r>
        <w:t>Exhibit___(DPP/SPA/MBR-</w:t>
      </w:r>
      <w:r w:rsidR="00EC1798">
        <w:t>5</w:t>
      </w:r>
      <w:r>
        <w:t>, Schedule 6, Workpaper 1)</w:t>
      </w:r>
      <w:r w:rsidRPr="00852D49">
        <w:t>.</w:t>
      </w:r>
    </w:p>
    <w:p w14:paraId="572821CB" w14:textId="77777777" w:rsidR="006C006B" w:rsidRPr="005F19CB" w:rsidRDefault="006C006B" w:rsidP="006C006B">
      <w:pPr>
        <w:spacing w:line="360" w:lineRule="auto"/>
        <w:ind w:left="720" w:hanging="720"/>
        <w:jc w:val="both"/>
      </w:pPr>
    </w:p>
    <w:p w14:paraId="39A53BFE" w14:textId="77777777" w:rsidR="006C006B" w:rsidRPr="005F19CB" w:rsidRDefault="006C006B" w:rsidP="006C006B">
      <w:pPr>
        <w:spacing w:line="360" w:lineRule="auto"/>
        <w:ind w:left="720" w:hanging="720"/>
        <w:rPr>
          <w:b/>
        </w:rPr>
      </w:pPr>
      <w:r w:rsidRPr="005F19CB">
        <w:rPr>
          <w:b/>
        </w:rPr>
        <w:t>Q.</w:t>
      </w:r>
      <w:r w:rsidRPr="005F19CB">
        <w:rPr>
          <w:b/>
        </w:rPr>
        <w:tab/>
        <w:t>WHAT TIMING DIFFERENCES RESULT IN DEFERRED INCOME TAXES?</w:t>
      </w:r>
    </w:p>
    <w:p w14:paraId="12FB518C" w14:textId="32844F8E" w:rsidR="006C006B" w:rsidRDefault="006C006B" w:rsidP="006C006B">
      <w:pPr>
        <w:pStyle w:val="BodyTextIndent2"/>
        <w:spacing w:after="0" w:line="360" w:lineRule="auto"/>
        <w:ind w:left="720" w:hanging="720"/>
        <w:jc w:val="both"/>
        <w:rPr>
          <w:sz w:val="24"/>
          <w:szCs w:val="24"/>
        </w:rPr>
      </w:pPr>
      <w:r w:rsidRPr="005F19CB">
        <w:rPr>
          <w:sz w:val="24"/>
          <w:szCs w:val="24"/>
        </w:rPr>
        <w:t>A.</w:t>
      </w:r>
      <w:r w:rsidRPr="005F19CB">
        <w:rPr>
          <w:sz w:val="24"/>
          <w:szCs w:val="24"/>
        </w:rPr>
        <w:tab/>
      </w:r>
      <w:r>
        <w:rPr>
          <w:sz w:val="24"/>
          <w:szCs w:val="24"/>
        </w:rPr>
        <w:t>Exhibit___(DPP/SPA/MBR-4, Schedule 6)</w:t>
      </w:r>
      <w:r w:rsidRPr="005F19CB">
        <w:rPr>
          <w:sz w:val="24"/>
          <w:szCs w:val="24"/>
        </w:rPr>
        <w:t xml:space="preserve"> identifies the categories of timing differences that result in deferred income taxes.  It also shows both the provision for deferred income taxes and the reversal of income taxes deferred in prior years for each specific item.  </w:t>
      </w:r>
      <w:r>
        <w:rPr>
          <w:sz w:val="24"/>
          <w:szCs w:val="24"/>
        </w:rPr>
        <w:t xml:space="preserve">The </w:t>
      </w:r>
      <w:r>
        <w:rPr>
          <w:sz w:val="24"/>
          <w:szCs w:val="24"/>
        </w:rPr>
        <w:lastRenderedPageBreak/>
        <w:t xml:space="preserve">impacts to revenue requirement related to income taxes as a result of the Tax </w:t>
      </w:r>
      <w:r w:rsidR="00D1056F">
        <w:rPr>
          <w:sz w:val="24"/>
          <w:szCs w:val="24"/>
        </w:rPr>
        <w:t>Reform Act</w:t>
      </w:r>
      <w:r>
        <w:rPr>
          <w:sz w:val="24"/>
          <w:szCs w:val="24"/>
        </w:rPr>
        <w:t xml:space="preserve">, including impacts to ADITs, are discussed in Section </w:t>
      </w:r>
      <w:r w:rsidR="007E62D7">
        <w:rPr>
          <w:sz w:val="24"/>
          <w:szCs w:val="24"/>
        </w:rPr>
        <w:t xml:space="preserve">II </w:t>
      </w:r>
      <w:r>
        <w:rPr>
          <w:sz w:val="24"/>
          <w:szCs w:val="24"/>
        </w:rPr>
        <w:t xml:space="preserve">above.  </w:t>
      </w:r>
    </w:p>
    <w:p w14:paraId="4E742C45" w14:textId="77777777" w:rsidR="006C006B" w:rsidRPr="00B1421B" w:rsidRDefault="006C006B">
      <w:pPr>
        <w:spacing w:line="360" w:lineRule="auto"/>
        <w:jc w:val="both"/>
        <w:rPr>
          <w:b/>
        </w:rPr>
      </w:pPr>
    </w:p>
    <w:p w14:paraId="59D326AF" w14:textId="77777777" w:rsidR="007E53A1" w:rsidRDefault="007E53A1" w:rsidP="007E53A1">
      <w:pPr>
        <w:spacing w:line="360" w:lineRule="auto"/>
        <w:jc w:val="both"/>
        <w:rPr>
          <w:b/>
        </w:rPr>
      </w:pPr>
      <w:bookmarkStart w:id="33" w:name="_Hlk12197361"/>
      <w:r w:rsidRPr="00B1421B">
        <w:rPr>
          <w:b/>
        </w:rPr>
        <w:t>Q.</w:t>
      </w:r>
      <w:r w:rsidRPr="00B1421B">
        <w:rPr>
          <w:b/>
        </w:rPr>
        <w:tab/>
        <w:t>PLEASE EXPLAIN THE ADJUSTMENT FOR FUTURE NUCLEAR COSTS.</w:t>
      </w:r>
    </w:p>
    <w:p w14:paraId="147FFCB1" w14:textId="4B7FA9E4" w:rsidR="007E53A1" w:rsidRDefault="007E53A1" w:rsidP="007E53A1">
      <w:pPr>
        <w:spacing w:line="360" w:lineRule="auto"/>
        <w:ind w:left="720" w:hanging="720"/>
        <w:jc w:val="both"/>
      </w:pPr>
      <w:r>
        <w:t>A.</w:t>
      </w:r>
      <w:r>
        <w:tab/>
        <w:t>In Docket No. 40161, the Commission authorized the Company to spend up to $99 million through June 2019 to investigate the option of pursuing new nuclear generation</w:t>
      </w:r>
      <w:r w:rsidR="00E07E23">
        <w:t xml:space="preserve"> </w:t>
      </w:r>
      <w:r>
        <w:t>in Stewart County, Georgia.</w:t>
      </w:r>
      <w:r w:rsidR="007B30C7">
        <w:t xml:space="preserve"> </w:t>
      </w:r>
      <w:r w:rsidR="00D85A7F" w:rsidRPr="00FA0CED">
        <w:t>Th</w:t>
      </w:r>
      <w:r w:rsidR="00D85A7F">
        <w:t xml:space="preserve">e Commission </w:t>
      </w:r>
      <w:r w:rsidR="00D85A7F" w:rsidRPr="00FA0CED">
        <w:t>found that if the project was terminated, costs incurred toward that effort would be deferred for recovery to a regulatory asset and the timing of that recovery would be addressed in a future base rate case in which the Commission w</w:t>
      </w:r>
      <w:r w:rsidR="00D85A7F">
        <w:t>ould</w:t>
      </w:r>
      <w:r w:rsidR="00D85A7F" w:rsidRPr="00FA0CED">
        <w:t xml:space="preserve"> determine the appropriate period to amortize the recovery of such costs.  </w:t>
      </w:r>
      <w:r w:rsidR="007B30C7">
        <w:t>On March 1, 2017, the Company</w:t>
      </w:r>
      <w:r>
        <w:t xml:space="preserve"> filed a letter with the Commission notifying its intent to suspend work related to </w:t>
      </w:r>
      <w:r w:rsidR="00D25D93">
        <w:t xml:space="preserve">the investigation of </w:t>
      </w:r>
      <w:r>
        <w:t xml:space="preserve">pursuing new nuclear generation.  </w:t>
      </w:r>
      <w:r w:rsidR="007658D5">
        <w:t>In accordance with the Commission’s order</w:t>
      </w:r>
      <w:r>
        <w:t>, the Company reclassified the</w:t>
      </w:r>
      <w:r w:rsidR="00C7346F">
        <w:t xml:space="preserve"> $48.8 million of costs incurred</w:t>
      </w:r>
      <w:r>
        <w:t xml:space="preserve"> to a regulatory asset and propose</w:t>
      </w:r>
      <w:r w:rsidR="00D25D93">
        <w:t xml:space="preserve">s </w:t>
      </w:r>
      <w:r>
        <w:t xml:space="preserve">to amortize </w:t>
      </w:r>
      <w:r w:rsidR="00C7346F">
        <w:t>such costs</w:t>
      </w:r>
      <w:r>
        <w:t xml:space="preserve"> ratably over </w:t>
      </w:r>
      <w:r w:rsidRPr="005F19CB">
        <w:t>the three</w:t>
      </w:r>
      <w:r>
        <w:t>-</w:t>
      </w:r>
      <w:r w:rsidRPr="005F19CB">
        <w:t>year period ending December 31, 20</w:t>
      </w:r>
      <w:r>
        <w:t xml:space="preserve">22. </w:t>
      </w:r>
      <w:r w:rsidR="00D1056F">
        <w:t xml:space="preserve"> </w:t>
      </w:r>
      <w:r w:rsidR="00DE6E8D">
        <w:t xml:space="preserve">This site will remain in the Company’s portfolio </w:t>
      </w:r>
      <w:r w:rsidR="00D1056F">
        <w:t xml:space="preserve">and available as a possible site for </w:t>
      </w:r>
      <w:r w:rsidR="00DE6E8D">
        <w:t xml:space="preserve">new generation facilities such as nuclear, gas and renewables.  </w:t>
      </w:r>
    </w:p>
    <w:bookmarkEnd w:id="33"/>
    <w:p w14:paraId="0D0DC21C" w14:textId="77777777" w:rsidR="007E53A1" w:rsidRDefault="007E53A1" w:rsidP="009B6905">
      <w:pPr>
        <w:spacing w:line="360" w:lineRule="auto"/>
        <w:jc w:val="both"/>
      </w:pPr>
    </w:p>
    <w:p w14:paraId="63DC5B4D" w14:textId="77777777" w:rsidR="007E53A1" w:rsidRDefault="007E53A1" w:rsidP="007E53A1">
      <w:pPr>
        <w:spacing w:line="360" w:lineRule="auto"/>
        <w:ind w:left="720" w:hanging="720"/>
        <w:jc w:val="both"/>
        <w:rPr>
          <w:b/>
        </w:rPr>
      </w:pPr>
      <w:r w:rsidRPr="00B1421B">
        <w:rPr>
          <w:b/>
        </w:rPr>
        <w:t>Q.</w:t>
      </w:r>
      <w:r w:rsidRPr="00B1421B">
        <w:rPr>
          <w:b/>
        </w:rPr>
        <w:tab/>
        <w:t xml:space="preserve">PLEASE EXPLAIN THE ADJUSTMENT FOR </w:t>
      </w:r>
      <w:r>
        <w:rPr>
          <w:b/>
        </w:rPr>
        <w:t>OBSOLETE INVENTORY OF DECERTIFIED PLANTS</w:t>
      </w:r>
      <w:r w:rsidRPr="00B1421B">
        <w:rPr>
          <w:b/>
        </w:rPr>
        <w:t>.</w:t>
      </w:r>
    </w:p>
    <w:p w14:paraId="0F5F368E" w14:textId="50092E6E" w:rsidR="00BF5D09" w:rsidRDefault="007E53A1" w:rsidP="00BF5D09">
      <w:pPr>
        <w:spacing w:line="360" w:lineRule="auto"/>
        <w:ind w:left="720" w:hanging="720"/>
        <w:jc w:val="both"/>
      </w:pPr>
      <w:r>
        <w:t>A.</w:t>
      </w:r>
      <w:r>
        <w:tab/>
        <w:t xml:space="preserve">As approved by the Commission in Docket Nos. 34218, 36498, and 40161, obsolete materials and supplies associated with decertified units in those proceedings have been reclassified to a regulatory asset, net of any salvage credits. The Company proposes to amortize the </w:t>
      </w:r>
      <w:r w:rsidRPr="006D2DE9">
        <w:t>$44.5</w:t>
      </w:r>
      <w:r>
        <w:t xml:space="preserve"> million of obsolete inventory, which includes an estimate of the obsolete inventory for plants requested to be decertified in the 2019 IRP, ratably over the three-year period ending December 31, 2022.</w:t>
      </w:r>
      <w:r w:rsidR="00BF5D09">
        <w:br w:type="page"/>
      </w:r>
    </w:p>
    <w:p w14:paraId="52BC9E15" w14:textId="77777777" w:rsidR="007E53A1" w:rsidRDefault="007E53A1" w:rsidP="007E53A1">
      <w:pPr>
        <w:spacing w:line="360" w:lineRule="auto"/>
        <w:ind w:left="720" w:hanging="720"/>
        <w:jc w:val="both"/>
        <w:rPr>
          <w:b/>
        </w:rPr>
      </w:pPr>
      <w:r w:rsidRPr="00B1421B">
        <w:rPr>
          <w:b/>
        </w:rPr>
        <w:lastRenderedPageBreak/>
        <w:t>Q.</w:t>
      </w:r>
      <w:r w:rsidRPr="00B1421B">
        <w:rPr>
          <w:b/>
        </w:rPr>
        <w:tab/>
        <w:t xml:space="preserve">PLEASE EXPLAIN THE ADJUSTMENT FOR </w:t>
      </w:r>
      <w:r>
        <w:rPr>
          <w:b/>
        </w:rPr>
        <w:t>NET BOOK VALUE (“NBV”) OF PLANT MITCHELL UNIT 3</w:t>
      </w:r>
      <w:r w:rsidRPr="00B1421B">
        <w:rPr>
          <w:b/>
        </w:rPr>
        <w:t>.</w:t>
      </w:r>
    </w:p>
    <w:p w14:paraId="290963D2" w14:textId="2145F7E4" w:rsidR="007E53A1" w:rsidRDefault="007E53A1" w:rsidP="007E53A1">
      <w:pPr>
        <w:spacing w:line="360" w:lineRule="auto"/>
        <w:ind w:left="720" w:hanging="720"/>
        <w:jc w:val="both"/>
      </w:pPr>
      <w:r>
        <w:t>A.</w:t>
      </w:r>
      <w:r>
        <w:tab/>
      </w:r>
      <w:r w:rsidRPr="000B2C33">
        <w:t xml:space="preserve">As approved by the Commission in Docket No. 40161, the Company reclassified the NBV of Plant Mitchell Unit 3 to a regulatory asset as of August 2016 and </w:t>
      </w:r>
      <w:r>
        <w:t xml:space="preserve">continued to </w:t>
      </w:r>
      <w:r w:rsidRPr="000B2C33">
        <w:t xml:space="preserve">amortize </w:t>
      </w:r>
      <w:r w:rsidR="006D2DE9">
        <w:t xml:space="preserve">it </w:t>
      </w:r>
      <w:r w:rsidRPr="000B2C33">
        <w:t xml:space="preserve">through December 2019 </w:t>
      </w:r>
      <w:r w:rsidR="006D2DE9">
        <w:t xml:space="preserve">based on </w:t>
      </w:r>
      <w:r w:rsidRPr="000B2C33">
        <w:t xml:space="preserve">a period equal to the remaining useful life approved by the Commission in Docket No. 36989. The Company proposes to amortize the projected remaining </w:t>
      </w:r>
      <w:r w:rsidR="006D2DE9">
        <w:t>regulatory asset balance</w:t>
      </w:r>
      <w:r w:rsidRPr="000B2C33">
        <w:t xml:space="preserve"> as of December </w:t>
      </w:r>
      <w:r w:rsidR="00D25D93">
        <w:t xml:space="preserve">31, </w:t>
      </w:r>
      <w:r w:rsidRPr="000B2C33">
        <w:t>2019 of $4.</w:t>
      </w:r>
      <w:r>
        <w:t>8</w:t>
      </w:r>
      <w:r w:rsidRPr="000B2C33">
        <w:t xml:space="preserve"> million ratably over the three-year period ending December 31, 2022.  </w:t>
      </w:r>
    </w:p>
    <w:p w14:paraId="6847411C" w14:textId="77777777" w:rsidR="007E53A1" w:rsidRDefault="007E53A1" w:rsidP="007E53A1">
      <w:pPr>
        <w:spacing w:line="360" w:lineRule="auto"/>
        <w:ind w:left="720" w:hanging="720"/>
        <w:jc w:val="both"/>
      </w:pPr>
      <w:bookmarkStart w:id="34" w:name="_Hlk9955827"/>
    </w:p>
    <w:p w14:paraId="1099B680" w14:textId="77777777" w:rsidR="006D2DE9" w:rsidRDefault="006D2DE9" w:rsidP="007E53A1">
      <w:pPr>
        <w:spacing w:line="360" w:lineRule="auto"/>
        <w:ind w:left="720" w:hanging="720"/>
        <w:jc w:val="both"/>
        <w:rPr>
          <w:b/>
        </w:rPr>
      </w:pPr>
      <w:r w:rsidRPr="0003104E">
        <w:rPr>
          <w:b/>
        </w:rPr>
        <w:t>Q.</w:t>
      </w:r>
      <w:r>
        <w:rPr>
          <w:b/>
        </w:rPr>
        <w:tab/>
        <w:t xml:space="preserve">WHY DID THE COMPANY SELECT A THREE-YEAR AMORTIZATION PERIOD </w:t>
      </w:r>
      <w:r w:rsidR="00F51B74">
        <w:rPr>
          <w:b/>
        </w:rPr>
        <w:t>FOR THE THREE REGULATORY ASSETS DISCUSSED ABOVE?</w:t>
      </w:r>
    </w:p>
    <w:p w14:paraId="73FB127B" w14:textId="605DD653" w:rsidR="00F51B74" w:rsidRDefault="00F51B74" w:rsidP="007E53A1">
      <w:pPr>
        <w:spacing w:line="360" w:lineRule="auto"/>
        <w:ind w:left="720" w:hanging="720"/>
        <w:jc w:val="both"/>
      </w:pPr>
      <w:r>
        <w:t>A.</w:t>
      </w:r>
      <w:r>
        <w:tab/>
      </w:r>
      <w:r w:rsidR="007E5D4D">
        <w:t>A</w:t>
      </w:r>
      <w:r>
        <w:t xml:space="preserve"> three-year amortization period provides reasonable balance between rate impact to customers and timely recovery of previously incurred costs for the Company.  A three-year period also provides for the amortization expense to be eliminated at the next time base rates are adjusted</w:t>
      </w:r>
      <w:r w:rsidR="00A24E23">
        <w:t>,</w:t>
      </w:r>
      <w:r>
        <w:t xml:space="preserve"> presuming the Commission approves </w:t>
      </w:r>
      <w:r w:rsidR="0003104E">
        <w:t>the Company’s proposed t</w:t>
      </w:r>
      <w:r>
        <w:t xml:space="preserve">hree-year </w:t>
      </w:r>
      <w:r w:rsidR="0003104E">
        <w:t>ARP</w:t>
      </w:r>
      <w:r w:rsidR="00A24E23">
        <w:t>.</w:t>
      </w:r>
      <w:r w:rsidR="007E62D7">
        <w:t xml:space="preserve"> </w:t>
      </w:r>
      <w:r w:rsidR="00A24E23">
        <w:t xml:space="preserve"> This treatment is </w:t>
      </w:r>
      <w:r w:rsidR="007E62D7">
        <w:t>similar to the Company’s proposal to amortize the tax reform regulatory liabilities for the benefit of customers over the three-year period</w:t>
      </w:r>
      <w:r>
        <w:t>.</w:t>
      </w:r>
    </w:p>
    <w:p w14:paraId="0200EB8E" w14:textId="77777777" w:rsidR="0003104E" w:rsidRPr="00F51B74" w:rsidRDefault="0003104E" w:rsidP="007E53A1">
      <w:pPr>
        <w:spacing w:line="360" w:lineRule="auto"/>
        <w:ind w:left="720" w:hanging="720"/>
        <w:jc w:val="both"/>
      </w:pPr>
    </w:p>
    <w:bookmarkEnd w:id="34"/>
    <w:p w14:paraId="7859453A" w14:textId="77777777" w:rsidR="007E53A1" w:rsidRPr="00F7056B" w:rsidRDefault="007E53A1" w:rsidP="00D31135">
      <w:pPr>
        <w:tabs>
          <w:tab w:val="center" w:pos="4680"/>
        </w:tabs>
        <w:spacing w:line="360" w:lineRule="auto"/>
        <w:ind w:left="720" w:hanging="720"/>
        <w:jc w:val="both"/>
        <w:rPr>
          <w:b/>
        </w:rPr>
      </w:pPr>
      <w:r w:rsidRPr="00F7056B">
        <w:rPr>
          <w:b/>
        </w:rPr>
        <w:t>Q.</w:t>
      </w:r>
      <w:r w:rsidRPr="00F7056B">
        <w:rPr>
          <w:b/>
        </w:rPr>
        <w:tab/>
        <w:t xml:space="preserve">PLEASE DESCRIBE THE CURRENT ACCOUNTING FOR </w:t>
      </w:r>
      <w:r>
        <w:rPr>
          <w:b/>
        </w:rPr>
        <w:t xml:space="preserve">CAPITAL SOFTWARE AND </w:t>
      </w:r>
      <w:r w:rsidRPr="00F7056B">
        <w:rPr>
          <w:b/>
        </w:rPr>
        <w:t>CLOUD COMPUTING.</w:t>
      </w:r>
    </w:p>
    <w:p w14:paraId="13C1CD71" w14:textId="77777777" w:rsidR="007E53A1" w:rsidRDefault="007E53A1" w:rsidP="007323CF">
      <w:pPr>
        <w:tabs>
          <w:tab w:val="center" w:pos="4680"/>
        </w:tabs>
        <w:spacing w:line="360" w:lineRule="auto"/>
        <w:ind w:left="720" w:hanging="720"/>
        <w:jc w:val="both"/>
      </w:pPr>
      <w:r>
        <w:t>A.</w:t>
      </w:r>
      <w:r>
        <w:tab/>
        <w:t xml:space="preserve">The Company follows </w:t>
      </w:r>
      <w:r w:rsidR="00410AAA">
        <w:t>GAAP</w:t>
      </w:r>
      <w:r>
        <w:t xml:space="preserve"> which provides for the accounting guidance on software and cloud computing. Under this standard, a significant portion of the software project and cloud computing costs are treated as O&amp;M and expensed as incurred. </w:t>
      </w:r>
    </w:p>
    <w:p w14:paraId="0CF32CEA" w14:textId="77777777" w:rsidR="007E53A1" w:rsidRDefault="007E53A1">
      <w:pPr>
        <w:tabs>
          <w:tab w:val="center" w:pos="4680"/>
        </w:tabs>
        <w:spacing w:line="360" w:lineRule="auto"/>
        <w:ind w:left="720" w:hanging="720"/>
        <w:jc w:val="both"/>
      </w:pPr>
      <w:r>
        <w:tab/>
        <w:t>These costs include:</w:t>
      </w:r>
    </w:p>
    <w:p w14:paraId="680EBDB6" w14:textId="77777777" w:rsidR="007E53A1" w:rsidRDefault="007E53A1" w:rsidP="00623F66">
      <w:pPr>
        <w:pStyle w:val="ListParagraph"/>
        <w:numPr>
          <w:ilvl w:val="0"/>
          <w:numId w:val="9"/>
        </w:numPr>
        <w:tabs>
          <w:tab w:val="center" w:pos="4680"/>
        </w:tabs>
        <w:spacing w:line="360" w:lineRule="auto"/>
        <w:jc w:val="both"/>
      </w:pPr>
      <w:r>
        <w:t>General and administrative costs and overhead costs</w:t>
      </w:r>
    </w:p>
    <w:p w14:paraId="1890CB82" w14:textId="77777777" w:rsidR="007E53A1" w:rsidRDefault="007E53A1" w:rsidP="00623F66">
      <w:pPr>
        <w:pStyle w:val="ListParagraph"/>
        <w:numPr>
          <w:ilvl w:val="0"/>
          <w:numId w:val="9"/>
        </w:numPr>
        <w:tabs>
          <w:tab w:val="center" w:pos="4680"/>
        </w:tabs>
        <w:spacing w:line="360" w:lineRule="auto"/>
        <w:jc w:val="both"/>
      </w:pPr>
      <w:r>
        <w:t>Costs incurred during the preliminary project stage to evaluate alternatives and determine final selection</w:t>
      </w:r>
      <w:r w:rsidR="005063FB">
        <w:t xml:space="preserve"> of the software solution</w:t>
      </w:r>
    </w:p>
    <w:p w14:paraId="05DBEC48" w14:textId="77777777" w:rsidR="007E53A1" w:rsidRDefault="007E53A1" w:rsidP="00623F66">
      <w:pPr>
        <w:pStyle w:val="ListParagraph"/>
        <w:numPr>
          <w:ilvl w:val="0"/>
          <w:numId w:val="9"/>
        </w:numPr>
        <w:tabs>
          <w:tab w:val="center" w:pos="4680"/>
        </w:tabs>
        <w:spacing w:line="360" w:lineRule="auto"/>
        <w:jc w:val="both"/>
      </w:pPr>
      <w:r>
        <w:t>Training costs</w:t>
      </w:r>
    </w:p>
    <w:p w14:paraId="61044685" w14:textId="77777777" w:rsidR="007E53A1" w:rsidRDefault="007E53A1" w:rsidP="00623F66">
      <w:pPr>
        <w:pStyle w:val="ListParagraph"/>
        <w:numPr>
          <w:ilvl w:val="0"/>
          <w:numId w:val="9"/>
        </w:numPr>
        <w:tabs>
          <w:tab w:val="center" w:pos="4680"/>
        </w:tabs>
        <w:spacing w:line="360" w:lineRule="auto"/>
        <w:jc w:val="both"/>
      </w:pPr>
      <w:r>
        <w:t>Data conversion costs</w:t>
      </w:r>
    </w:p>
    <w:p w14:paraId="7C123747" w14:textId="77777777" w:rsidR="007E53A1" w:rsidRDefault="007E53A1" w:rsidP="00623F66">
      <w:pPr>
        <w:pStyle w:val="ListParagraph"/>
        <w:numPr>
          <w:ilvl w:val="0"/>
          <w:numId w:val="9"/>
        </w:numPr>
        <w:tabs>
          <w:tab w:val="center" w:pos="4680"/>
        </w:tabs>
        <w:spacing w:line="360" w:lineRule="auto"/>
        <w:jc w:val="both"/>
      </w:pPr>
      <w:r>
        <w:lastRenderedPageBreak/>
        <w:t>Application maintenance costs</w:t>
      </w:r>
    </w:p>
    <w:p w14:paraId="61DF8C43" w14:textId="77777777" w:rsidR="00784741" w:rsidRDefault="00784741">
      <w:pPr>
        <w:tabs>
          <w:tab w:val="center" w:pos="4680"/>
        </w:tabs>
        <w:spacing w:line="360" w:lineRule="auto"/>
        <w:ind w:left="720"/>
        <w:jc w:val="both"/>
      </w:pPr>
      <w:r>
        <w:tab/>
        <w:t>Further, portions of costs incurred related to updates and upgrades which extend the useful life of the application may not qualify for capital treatment under current accounting guidance.</w:t>
      </w:r>
    </w:p>
    <w:p w14:paraId="5814CEB7" w14:textId="77777777" w:rsidR="007E53A1" w:rsidRDefault="007E53A1">
      <w:pPr>
        <w:pStyle w:val="ListParagraph"/>
        <w:tabs>
          <w:tab w:val="center" w:pos="4680"/>
        </w:tabs>
        <w:spacing w:line="360" w:lineRule="auto"/>
        <w:ind w:left="1444"/>
        <w:jc w:val="both"/>
      </w:pPr>
    </w:p>
    <w:p w14:paraId="314B1D4B" w14:textId="77777777" w:rsidR="00134518" w:rsidRPr="00134518" w:rsidRDefault="00134518" w:rsidP="00134518">
      <w:pPr>
        <w:pStyle w:val="TestimonyQuestion"/>
        <w:numPr>
          <w:ilvl w:val="0"/>
          <w:numId w:val="0"/>
        </w:numPr>
        <w:spacing w:line="360" w:lineRule="auto"/>
        <w:ind w:left="720" w:hanging="720"/>
        <w:rPr>
          <w:sz w:val="24"/>
          <w:szCs w:val="24"/>
        </w:rPr>
      </w:pPr>
      <w:r w:rsidRPr="00134518">
        <w:rPr>
          <w:sz w:val="24"/>
          <w:szCs w:val="24"/>
        </w:rPr>
        <w:t>Q.</w:t>
      </w:r>
      <w:r w:rsidRPr="00134518">
        <w:rPr>
          <w:sz w:val="24"/>
          <w:szCs w:val="24"/>
        </w:rPr>
        <w:tab/>
        <w:t>W</w:t>
      </w:r>
      <w:r w:rsidR="003D366A">
        <w:rPr>
          <w:sz w:val="24"/>
          <w:szCs w:val="24"/>
        </w:rPr>
        <w:t>HAT CONCERNS DO YOU HAVE WITH THE CURRENT ACCOUNTING STANDARDS</w:t>
      </w:r>
      <w:r w:rsidRPr="00134518">
        <w:rPr>
          <w:sz w:val="24"/>
          <w:szCs w:val="24"/>
        </w:rPr>
        <w:t>?</w:t>
      </w:r>
    </w:p>
    <w:p w14:paraId="29AFA5C8" w14:textId="77777777" w:rsidR="00134518" w:rsidRDefault="00134518" w:rsidP="00134518">
      <w:pPr>
        <w:pStyle w:val="TestimonyQuestion"/>
        <w:numPr>
          <w:ilvl w:val="0"/>
          <w:numId w:val="0"/>
        </w:numPr>
        <w:spacing w:line="360" w:lineRule="auto"/>
        <w:ind w:left="720" w:hanging="720"/>
        <w:rPr>
          <w:b w:val="0"/>
          <w:sz w:val="24"/>
          <w:szCs w:val="24"/>
        </w:rPr>
      </w:pPr>
      <w:r w:rsidRPr="00134518">
        <w:rPr>
          <w:b w:val="0"/>
          <w:sz w:val="24"/>
          <w:szCs w:val="24"/>
        </w:rPr>
        <w:t>A.</w:t>
      </w:r>
      <w:r w:rsidRPr="00134518">
        <w:rPr>
          <w:b w:val="0"/>
          <w:sz w:val="24"/>
          <w:szCs w:val="24"/>
        </w:rPr>
        <w:tab/>
        <w:t xml:space="preserve">The current accounting </w:t>
      </w:r>
      <w:r>
        <w:rPr>
          <w:b w:val="0"/>
          <w:sz w:val="24"/>
          <w:szCs w:val="24"/>
        </w:rPr>
        <w:t>standards</w:t>
      </w:r>
      <w:r w:rsidRPr="00134518">
        <w:rPr>
          <w:b w:val="0"/>
          <w:sz w:val="24"/>
          <w:szCs w:val="24"/>
        </w:rPr>
        <w:t xml:space="preserve"> create uneven expense recognition patterns and result in inconsistent treatment of the same or similarly focused technology project costs based on different types of technology and cost.  </w:t>
      </w:r>
      <w:r w:rsidR="003D366A">
        <w:rPr>
          <w:b w:val="0"/>
          <w:sz w:val="24"/>
          <w:szCs w:val="24"/>
        </w:rPr>
        <w:t>Because of the desire for more predictable costs over time, t</w:t>
      </w:r>
      <w:r w:rsidRPr="00134518">
        <w:rPr>
          <w:b w:val="0"/>
          <w:sz w:val="24"/>
          <w:szCs w:val="24"/>
        </w:rPr>
        <w:t xml:space="preserve">his </w:t>
      </w:r>
      <w:r>
        <w:rPr>
          <w:b w:val="0"/>
          <w:sz w:val="24"/>
          <w:szCs w:val="24"/>
        </w:rPr>
        <w:t xml:space="preserve">inconsistency in accounting treatment can influence </w:t>
      </w:r>
      <w:r w:rsidRPr="00134518">
        <w:rPr>
          <w:b w:val="0"/>
          <w:sz w:val="24"/>
          <w:szCs w:val="24"/>
        </w:rPr>
        <w:t xml:space="preserve">utilities’ </w:t>
      </w:r>
      <w:r w:rsidR="003D366A">
        <w:rPr>
          <w:b w:val="0"/>
          <w:sz w:val="24"/>
          <w:szCs w:val="24"/>
        </w:rPr>
        <w:t xml:space="preserve">decisions towards </w:t>
      </w:r>
      <w:r w:rsidR="003D366A" w:rsidRPr="00134518">
        <w:rPr>
          <w:b w:val="0"/>
          <w:sz w:val="24"/>
          <w:szCs w:val="24"/>
        </w:rPr>
        <w:t>certain technology and implementation approach</w:t>
      </w:r>
      <w:r w:rsidR="003D366A">
        <w:rPr>
          <w:b w:val="0"/>
          <w:sz w:val="24"/>
          <w:szCs w:val="24"/>
        </w:rPr>
        <w:t>es</w:t>
      </w:r>
      <w:r w:rsidR="003D366A" w:rsidRPr="00134518">
        <w:rPr>
          <w:b w:val="0"/>
          <w:sz w:val="24"/>
          <w:szCs w:val="24"/>
        </w:rPr>
        <w:t xml:space="preserve"> that are more likely to be capitalized.</w:t>
      </w:r>
      <w:r w:rsidR="003D366A">
        <w:rPr>
          <w:b w:val="0"/>
          <w:sz w:val="24"/>
          <w:szCs w:val="24"/>
        </w:rPr>
        <w:t xml:space="preserve"> </w:t>
      </w:r>
      <w:r w:rsidR="00D31135">
        <w:rPr>
          <w:b w:val="0"/>
          <w:sz w:val="24"/>
          <w:szCs w:val="24"/>
        </w:rPr>
        <w:t xml:space="preserve"> </w:t>
      </w:r>
      <w:r w:rsidRPr="00134518">
        <w:rPr>
          <w:b w:val="0"/>
          <w:sz w:val="24"/>
          <w:szCs w:val="24"/>
        </w:rPr>
        <w:t xml:space="preserve">Ideally, selection of technology solutions and implementation approaches should be based on technology itself and maximizing benefits to customers and utilities.  </w:t>
      </w:r>
    </w:p>
    <w:p w14:paraId="5277B3D6" w14:textId="77777777" w:rsidR="003D366A" w:rsidRPr="00134518" w:rsidRDefault="003D366A" w:rsidP="00134518">
      <w:pPr>
        <w:pStyle w:val="TestimonyQuestion"/>
        <w:numPr>
          <w:ilvl w:val="0"/>
          <w:numId w:val="0"/>
        </w:numPr>
        <w:spacing w:line="360" w:lineRule="auto"/>
        <w:ind w:left="720" w:hanging="720"/>
        <w:rPr>
          <w:b w:val="0"/>
          <w:sz w:val="24"/>
          <w:szCs w:val="24"/>
        </w:rPr>
      </w:pPr>
    </w:p>
    <w:p w14:paraId="553AEBD6" w14:textId="77777777" w:rsidR="00134518" w:rsidRPr="00134518" w:rsidRDefault="00134518" w:rsidP="00134518">
      <w:pPr>
        <w:pStyle w:val="TestimonyQuestion"/>
        <w:numPr>
          <w:ilvl w:val="0"/>
          <w:numId w:val="0"/>
        </w:numPr>
        <w:spacing w:line="360" w:lineRule="auto"/>
        <w:ind w:left="720" w:hanging="720"/>
        <w:rPr>
          <w:sz w:val="24"/>
          <w:szCs w:val="24"/>
        </w:rPr>
      </w:pPr>
      <w:r w:rsidRPr="00134518">
        <w:rPr>
          <w:sz w:val="24"/>
          <w:szCs w:val="24"/>
        </w:rPr>
        <w:t>Q.</w:t>
      </w:r>
      <w:r w:rsidRPr="00134518">
        <w:rPr>
          <w:sz w:val="24"/>
          <w:szCs w:val="24"/>
        </w:rPr>
        <w:tab/>
      </w:r>
      <w:r w:rsidR="00C155DC">
        <w:rPr>
          <w:sz w:val="24"/>
          <w:szCs w:val="24"/>
        </w:rPr>
        <w:t>HAS THIS ISSUE BEEN CONSIDERED BY THE NATIONAL ASSOCIATION OF REGULATORY UTILITY COMMISSIONERS (“NARUC”)</w:t>
      </w:r>
      <w:r w:rsidRPr="00134518">
        <w:rPr>
          <w:sz w:val="24"/>
          <w:szCs w:val="24"/>
        </w:rPr>
        <w:t>?</w:t>
      </w:r>
    </w:p>
    <w:p w14:paraId="50765B70" w14:textId="47B1E8DD" w:rsidR="00D31135" w:rsidRDefault="00134518" w:rsidP="00134518">
      <w:pPr>
        <w:pStyle w:val="TestimonyQuestion"/>
        <w:numPr>
          <w:ilvl w:val="0"/>
          <w:numId w:val="0"/>
        </w:numPr>
        <w:spacing w:line="360" w:lineRule="auto"/>
        <w:ind w:left="720" w:hanging="720"/>
        <w:rPr>
          <w:b w:val="0"/>
          <w:sz w:val="24"/>
          <w:szCs w:val="24"/>
        </w:rPr>
      </w:pPr>
      <w:r w:rsidRPr="00134518">
        <w:rPr>
          <w:b w:val="0"/>
          <w:sz w:val="24"/>
          <w:szCs w:val="24"/>
        </w:rPr>
        <w:t>A.</w:t>
      </w:r>
      <w:r w:rsidRPr="00134518">
        <w:rPr>
          <w:b w:val="0"/>
          <w:sz w:val="24"/>
          <w:szCs w:val="24"/>
        </w:rPr>
        <w:tab/>
      </w:r>
      <w:r w:rsidR="008F6288">
        <w:rPr>
          <w:b w:val="0"/>
          <w:sz w:val="24"/>
          <w:szCs w:val="24"/>
        </w:rPr>
        <w:t xml:space="preserve">Yes. </w:t>
      </w:r>
      <w:r w:rsidRPr="00134518">
        <w:rPr>
          <w:b w:val="0"/>
          <w:sz w:val="24"/>
          <w:szCs w:val="24"/>
        </w:rPr>
        <w:t xml:space="preserve">A resolution </w:t>
      </w:r>
      <w:r w:rsidR="003B48E5" w:rsidRPr="00134518">
        <w:rPr>
          <w:b w:val="0"/>
          <w:sz w:val="24"/>
          <w:szCs w:val="24"/>
        </w:rPr>
        <w:t>from NARUC</w:t>
      </w:r>
      <w:r w:rsidRPr="00134518">
        <w:rPr>
          <w:b w:val="0"/>
          <w:sz w:val="24"/>
          <w:szCs w:val="24"/>
        </w:rPr>
        <w:t xml:space="preserve"> in November 2016 summarizes this issue and the role that state regulators can play to mitigate the disparity between cloud-based and on-premise technology solutions</w:t>
      </w:r>
      <w:r w:rsidR="00D31135">
        <w:rPr>
          <w:b w:val="0"/>
          <w:sz w:val="24"/>
          <w:szCs w:val="24"/>
        </w:rPr>
        <w:t xml:space="preserve">: </w:t>
      </w:r>
      <w:r w:rsidRPr="00134518">
        <w:rPr>
          <w:b w:val="0"/>
          <w:sz w:val="24"/>
          <w:szCs w:val="24"/>
        </w:rPr>
        <w:t xml:space="preserve"> </w:t>
      </w:r>
    </w:p>
    <w:p w14:paraId="679ECAB3" w14:textId="77777777" w:rsidR="00D31135" w:rsidRDefault="00D31135" w:rsidP="00134518">
      <w:pPr>
        <w:pStyle w:val="TestimonyQuestion"/>
        <w:numPr>
          <w:ilvl w:val="0"/>
          <w:numId w:val="0"/>
        </w:numPr>
        <w:spacing w:line="360" w:lineRule="auto"/>
        <w:ind w:left="720" w:hanging="720"/>
        <w:rPr>
          <w:b w:val="0"/>
          <w:sz w:val="24"/>
          <w:szCs w:val="24"/>
        </w:rPr>
      </w:pPr>
    </w:p>
    <w:p w14:paraId="2DA29622" w14:textId="41D09806" w:rsidR="00BF5D09" w:rsidRPr="00BF5D09" w:rsidRDefault="00134518" w:rsidP="00BF5D09">
      <w:pPr>
        <w:pStyle w:val="TestimonyQuestion"/>
        <w:numPr>
          <w:ilvl w:val="0"/>
          <w:numId w:val="0"/>
        </w:numPr>
        <w:spacing w:line="240" w:lineRule="auto"/>
        <w:ind w:left="1440" w:right="720"/>
        <w:rPr>
          <w:b w:val="0"/>
          <w:sz w:val="24"/>
          <w:szCs w:val="24"/>
        </w:rPr>
      </w:pPr>
      <w:r w:rsidRPr="00134518">
        <w:rPr>
          <w:b w:val="0"/>
          <w:sz w:val="24"/>
          <w:szCs w:val="24"/>
        </w:rPr>
        <w:t>Utilities best serve customers, society, the environment, and the grid by making software procurement decisions regardless of the delivery method or payment model</w:t>
      </w:r>
      <w:r w:rsidR="0049198E">
        <w:rPr>
          <w:b w:val="0"/>
          <w:sz w:val="24"/>
          <w:szCs w:val="24"/>
        </w:rPr>
        <w:t xml:space="preserve"> . . . </w:t>
      </w:r>
      <w:r w:rsidRPr="00134518">
        <w:rPr>
          <w:b w:val="0"/>
          <w:sz w:val="24"/>
          <w:szCs w:val="24"/>
        </w:rPr>
        <w:t>NARUC encourages State regulators to consider whether cloud computing and on-premise solutions should receive similar regulatory accounting treatment, in that both would be eligible to earn a rate of return and would be paid for out of a utility’s capital budget.</w:t>
      </w:r>
      <w:r w:rsidR="00BF5D09">
        <w:br w:type="page"/>
      </w:r>
    </w:p>
    <w:p w14:paraId="51666F5E" w14:textId="77777777" w:rsidR="007E53A1" w:rsidRDefault="007E53A1" w:rsidP="007E53A1">
      <w:pPr>
        <w:tabs>
          <w:tab w:val="center" w:pos="4680"/>
        </w:tabs>
        <w:spacing w:line="360" w:lineRule="auto"/>
        <w:ind w:left="720" w:hanging="720"/>
        <w:jc w:val="both"/>
        <w:rPr>
          <w:b/>
        </w:rPr>
      </w:pPr>
      <w:r w:rsidRPr="006529DD">
        <w:rPr>
          <w:b/>
        </w:rPr>
        <w:lastRenderedPageBreak/>
        <w:t>Q.</w:t>
      </w:r>
      <w:r w:rsidRPr="006529DD">
        <w:rPr>
          <w:b/>
        </w:rPr>
        <w:tab/>
        <w:t>WHAT IS THE COMPANY’S REQUEST ON THE ACCOUNTING TREATMENT OF SOFTWARE AND CLOUD COMPUTING COSTS?</w:t>
      </w:r>
    </w:p>
    <w:p w14:paraId="61CB3AE5" w14:textId="51699376" w:rsidR="007E53A1" w:rsidRDefault="007E53A1" w:rsidP="007E53A1">
      <w:pPr>
        <w:tabs>
          <w:tab w:val="center" w:pos="4680"/>
        </w:tabs>
        <w:spacing w:line="360" w:lineRule="auto"/>
        <w:ind w:left="720" w:hanging="720"/>
        <w:jc w:val="both"/>
      </w:pPr>
      <w:r w:rsidRPr="006529DD">
        <w:t>A.</w:t>
      </w:r>
      <w:r>
        <w:tab/>
        <w:t xml:space="preserve">The Company requests the Commission </w:t>
      </w:r>
      <w:r w:rsidR="00234E6E">
        <w:t xml:space="preserve">to </w:t>
      </w:r>
      <w:r w:rsidR="00B43247">
        <w:t xml:space="preserve">allow for the deferral </w:t>
      </w:r>
      <w:r w:rsidR="00234E6E">
        <w:t xml:space="preserve">as a regulatory asset </w:t>
      </w:r>
      <w:r>
        <w:t>certain software and cloud computing</w:t>
      </w:r>
      <w:r w:rsidR="00410AAA">
        <w:t xml:space="preserve"> project</w:t>
      </w:r>
      <w:r>
        <w:t xml:space="preserve"> costs that would otherwise be expensed under </w:t>
      </w:r>
      <w:r w:rsidR="00410AAA">
        <w:t>GAAP</w:t>
      </w:r>
      <w:r w:rsidR="00234E6E">
        <w:t xml:space="preserve">.  The </w:t>
      </w:r>
      <w:r w:rsidR="00B869D6">
        <w:t xml:space="preserve">Commission </w:t>
      </w:r>
      <w:r w:rsidR="00234E6E">
        <w:t>would</w:t>
      </w:r>
      <w:r w:rsidR="00B869D6">
        <w:t xml:space="preserve"> address the timing of cost recovery in the next base rate case</w:t>
      </w:r>
      <w:r>
        <w:t>.</w:t>
      </w:r>
      <w:r w:rsidR="00B869D6">
        <w:t xml:space="preserve">  </w:t>
      </w:r>
      <w:r>
        <w:t xml:space="preserve">Since the software and cloud computing </w:t>
      </w:r>
      <w:r w:rsidR="008F6288">
        <w:t xml:space="preserve">arrangements </w:t>
      </w:r>
      <w:r>
        <w:t xml:space="preserve">provide service to customers over their useful lives, the </w:t>
      </w:r>
      <w:r w:rsidR="008F6288">
        <w:t xml:space="preserve">deferral </w:t>
      </w:r>
      <w:r>
        <w:t xml:space="preserve">of these costs will </w:t>
      </w:r>
      <w:r w:rsidR="008F6288">
        <w:t xml:space="preserve">allow </w:t>
      </w:r>
      <w:r w:rsidR="0035071A">
        <w:t>the related</w:t>
      </w:r>
      <w:r w:rsidR="008F6288">
        <w:t xml:space="preserve"> costs to be recovered </w:t>
      </w:r>
      <w:r>
        <w:t xml:space="preserve">over </w:t>
      </w:r>
      <w:r w:rsidR="000142F9">
        <w:t>a</w:t>
      </w:r>
      <w:r>
        <w:t xml:space="preserve"> period </w:t>
      </w:r>
      <w:r w:rsidR="000142F9">
        <w:t>more consistent with when</w:t>
      </w:r>
      <w:r>
        <w:t xml:space="preserve"> the customers will receive the benefit of these services.</w:t>
      </w:r>
      <w:r w:rsidR="00CE2E73">
        <w:t xml:space="preserve">  </w:t>
      </w:r>
      <w:r w:rsidR="00CE2E73" w:rsidRPr="00784741">
        <w:t xml:space="preserve">This will also allow the Company to focus on the best available </w:t>
      </w:r>
      <w:r w:rsidR="00852266">
        <w:t xml:space="preserve">outcome </w:t>
      </w:r>
      <w:r w:rsidR="00CE2E73" w:rsidRPr="00784741">
        <w:t xml:space="preserve">and benefit to customers when selecting software solutions without any unnecessary </w:t>
      </w:r>
      <w:r w:rsidR="00545982" w:rsidRPr="00784741">
        <w:t xml:space="preserve">bias due to </w:t>
      </w:r>
      <w:r w:rsidR="00CE2E73" w:rsidRPr="00784741">
        <w:t>a certain accounting treatment.</w:t>
      </w:r>
    </w:p>
    <w:p w14:paraId="67FD0AFD" w14:textId="77777777" w:rsidR="00852266" w:rsidRDefault="00852266" w:rsidP="007E53A1">
      <w:pPr>
        <w:tabs>
          <w:tab w:val="center" w:pos="4680"/>
        </w:tabs>
        <w:spacing w:line="360" w:lineRule="auto"/>
        <w:ind w:left="720" w:hanging="720"/>
        <w:jc w:val="both"/>
      </w:pPr>
    </w:p>
    <w:p w14:paraId="7D6EE2C5" w14:textId="77777777" w:rsidR="00142E05" w:rsidRDefault="00852266" w:rsidP="00852266">
      <w:pPr>
        <w:tabs>
          <w:tab w:val="center" w:pos="4680"/>
        </w:tabs>
        <w:spacing w:line="360" w:lineRule="auto"/>
        <w:ind w:left="720" w:hanging="720"/>
        <w:jc w:val="both"/>
        <w:rPr>
          <w:b/>
        </w:rPr>
      </w:pPr>
      <w:r w:rsidRPr="0035071A">
        <w:rPr>
          <w:b/>
        </w:rPr>
        <w:t>Q.</w:t>
      </w:r>
      <w:r w:rsidRPr="0035071A">
        <w:rPr>
          <w:b/>
        </w:rPr>
        <w:tab/>
        <w:t>HOW HAVE SOFTWARE AND CLOUD COMPUTING COSTS BEEN ADDRESSED IN THIS FILING?</w:t>
      </w:r>
    </w:p>
    <w:p w14:paraId="4550F90C" w14:textId="198AD089" w:rsidR="00852266" w:rsidRDefault="00852266" w:rsidP="00852266">
      <w:pPr>
        <w:tabs>
          <w:tab w:val="center" w:pos="4680"/>
        </w:tabs>
        <w:spacing w:line="360" w:lineRule="auto"/>
        <w:ind w:left="720" w:hanging="720"/>
        <w:jc w:val="both"/>
      </w:pPr>
      <w:r w:rsidRPr="00142E05">
        <w:t>A.</w:t>
      </w:r>
      <w:r>
        <w:tab/>
        <w:t>Software and cloud computing costs have been included in this filing consistent with GAAP and past ratemaking practices.  As such</w:t>
      </w:r>
      <w:r w:rsidR="00342E2A">
        <w:t>,</w:t>
      </w:r>
      <w:r w:rsidR="002C6470">
        <w:t xml:space="preserve"> approximately $4</w:t>
      </w:r>
      <w:r w:rsidR="00527312">
        <w:t>0</w:t>
      </w:r>
      <w:r w:rsidR="002C6470">
        <w:t xml:space="preserve"> million, or an annual average of </w:t>
      </w:r>
      <w:r w:rsidR="008B6000">
        <w:t xml:space="preserve">approximately </w:t>
      </w:r>
      <w:r w:rsidR="002C6470">
        <w:t xml:space="preserve">$14 million on a levelized basis, has been included </w:t>
      </w:r>
      <w:r>
        <w:t xml:space="preserve">as O&amp;M </w:t>
      </w:r>
      <w:r w:rsidR="00342E2A">
        <w:t xml:space="preserve">expenses </w:t>
      </w:r>
      <w:r>
        <w:t xml:space="preserve">related to the implementation of software and/or cloud computing solutions.  Should the Commission find it reasonable to adopt a policy similar to that suggested by NARUC, the Company would </w:t>
      </w:r>
      <w:r w:rsidR="00342E2A">
        <w:t xml:space="preserve">defer those costs to a regulatory asset and </w:t>
      </w:r>
      <w:r>
        <w:t>adjust it</w:t>
      </w:r>
      <w:r w:rsidR="00342E2A">
        <w:t>s</w:t>
      </w:r>
      <w:r>
        <w:t xml:space="preserve"> requested rate increase accordingly.  </w:t>
      </w:r>
    </w:p>
    <w:p w14:paraId="3BB6B6D8" w14:textId="77777777" w:rsidR="00E37EF0" w:rsidRDefault="00E37EF0">
      <w:pPr>
        <w:spacing w:line="360" w:lineRule="auto"/>
        <w:ind w:left="720" w:hanging="720"/>
        <w:jc w:val="both"/>
        <w:rPr>
          <w:b/>
        </w:rPr>
      </w:pPr>
    </w:p>
    <w:p w14:paraId="14EF4254" w14:textId="3282AA67" w:rsidR="007E53A1" w:rsidRDefault="007E53A1" w:rsidP="007E53A1">
      <w:pPr>
        <w:spacing w:line="360" w:lineRule="auto"/>
        <w:ind w:left="720" w:hanging="720"/>
        <w:jc w:val="both"/>
        <w:rPr>
          <w:b/>
        </w:rPr>
      </w:pPr>
      <w:r>
        <w:rPr>
          <w:b/>
        </w:rPr>
        <w:t>Q.</w:t>
      </w:r>
      <w:r>
        <w:rPr>
          <w:b/>
        </w:rPr>
        <w:tab/>
        <w:t xml:space="preserve">WHAT IS INCLUDED IN THIS FILING IN REGARD TO </w:t>
      </w:r>
      <w:r w:rsidR="00051566">
        <w:rPr>
          <w:b/>
        </w:rPr>
        <w:t>ELECTRIC</w:t>
      </w:r>
      <w:r w:rsidR="00D257EA">
        <w:rPr>
          <w:b/>
        </w:rPr>
        <w:t xml:space="preserve"> TRANSPORTATION </w:t>
      </w:r>
      <w:r>
        <w:rPr>
          <w:b/>
        </w:rPr>
        <w:t>ACTIVITIE</w:t>
      </w:r>
      <w:r w:rsidR="00D257EA">
        <w:rPr>
          <w:b/>
        </w:rPr>
        <w:t>S</w:t>
      </w:r>
      <w:r>
        <w:rPr>
          <w:b/>
        </w:rPr>
        <w:t>?</w:t>
      </w:r>
    </w:p>
    <w:p w14:paraId="39D05CA5" w14:textId="5DDE1E4A" w:rsidR="007E53A1" w:rsidRPr="00605C45" w:rsidRDefault="007E53A1" w:rsidP="007E53A1">
      <w:pPr>
        <w:spacing w:line="360" w:lineRule="auto"/>
        <w:ind w:left="720" w:hanging="720"/>
        <w:jc w:val="both"/>
      </w:pPr>
      <w:r>
        <w:t>A.</w:t>
      </w:r>
      <w:r>
        <w:tab/>
      </w:r>
      <w:r w:rsidRPr="000D31DE">
        <w:t xml:space="preserve">The Company has included </w:t>
      </w:r>
      <w:r>
        <w:t xml:space="preserve">projected </w:t>
      </w:r>
      <w:r w:rsidR="00D257EA">
        <w:t xml:space="preserve">capital and O&amp;M </w:t>
      </w:r>
      <w:r>
        <w:t xml:space="preserve">costs </w:t>
      </w:r>
      <w:r w:rsidR="00D257EA">
        <w:t xml:space="preserve">for electric transportation activities </w:t>
      </w:r>
      <w:r>
        <w:t xml:space="preserve">such as: </w:t>
      </w:r>
      <w:r w:rsidR="005E0E1C">
        <w:t>(</w:t>
      </w:r>
      <w:r>
        <w:t xml:space="preserve">1) </w:t>
      </w:r>
      <w:r w:rsidRPr="000D31DE">
        <w:t xml:space="preserve">net investment of all the </w:t>
      </w:r>
      <w:r w:rsidR="00096DDA">
        <w:t>existing c</w:t>
      </w:r>
      <w:r w:rsidRPr="000D31DE">
        <w:t xml:space="preserve">ommunity </w:t>
      </w:r>
      <w:r w:rsidR="00096DDA">
        <w:t>e</w:t>
      </w:r>
      <w:r w:rsidRPr="000D31DE">
        <w:t xml:space="preserve">lectric </w:t>
      </w:r>
      <w:r w:rsidR="00096DDA">
        <w:t>v</w:t>
      </w:r>
      <w:r w:rsidRPr="000D31DE">
        <w:t>ehicle</w:t>
      </w:r>
      <w:r w:rsidR="005E0E1C">
        <w:t xml:space="preserve"> (“EV”)</w:t>
      </w:r>
      <w:r w:rsidRPr="000D31DE">
        <w:t xml:space="preserve"> </w:t>
      </w:r>
      <w:r w:rsidR="00096DDA">
        <w:t>c</w:t>
      </w:r>
      <w:r w:rsidRPr="000D31DE">
        <w:t>harging facilities (located on and off Company property) and the associated</w:t>
      </w:r>
      <w:r>
        <w:t xml:space="preserve"> </w:t>
      </w:r>
      <w:r w:rsidRPr="000D31DE">
        <w:t>revenues and expenses</w:t>
      </w:r>
      <w:r w:rsidR="005E0E1C">
        <w:t>;</w:t>
      </w:r>
      <w:r w:rsidRPr="000D31DE">
        <w:t xml:space="preserve"> </w:t>
      </w:r>
      <w:r w:rsidR="005E0E1C">
        <w:t>(</w:t>
      </w:r>
      <w:r>
        <w:t>2) commercial and residential rebates for installing EV chargers</w:t>
      </w:r>
      <w:r w:rsidR="005E0E1C">
        <w:t>;</w:t>
      </w:r>
      <w:r>
        <w:t xml:space="preserve"> and </w:t>
      </w:r>
      <w:r w:rsidR="005E0E1C">
        <w:t>(</w:t>
      </w:r>
      <w:r>
        <w:t>3) an amount for EV education and awareness</w:t>
      </w:r>
      <w:r w:rsidRPr="000D31DE">
        <w:t>.</w:t>
      </w:r>
      <w:r w:rsidR="00A365DB">
        <w:t xml:space="preserve">  </w:t>
      </w:r>
      <w:r w:rsidR="00D257EA" w:rsidRPr="00D257EA">
        <w:t xml:space="preserve">These activities include those that were formerly </w:t>
      </w:r>
      <w:r w:rsidR="00D257EA" w:rsidRPr="00D257EA">
        <w:lastRenderedPageBreak/>
        <w:t>part of the Electric Transportation Pilot. </w:t>
      </w:r>
      <w:r w:rsidR="00D257EA">
        <w:t xml:space="preserve"> </w:t>
      </w:r>
      <w:r w:rsidR="00E37EF0">
        <w:t xml:space="preserve">Since 2014, the Company has made </w:t>
      </w:r>
      <w:r w:rsidR="00493908">
        <w:t xml:space="preserve">approximately </w:t>
      </w:r>
      <w:r w:rsidR="00E37EF0">
        <w:t>$</w:t>
      </w:r>
      <w:r w:rsidR="00493908">
        <w:t>3</w:t>
      </w:r>
      <w:r w:rsidR="00E37EF0">
        <w:t xml:space="preserve"> </w:t>
      </w:r>
      <w:r w:rsidR="00493908">
        <w:t xml:space="preserve">million </w:t>
      </w:r>
      <w:r w:rsidR="00E37EF0">
        <w:t xml:space="preserve">in capital investment in </w:t>
      </w:r>
      <w:r w:rsidR="00096DDA">
        <w:t>EV</w:t>
      </w:r>
      <w:r w:rsidR="00E37EF0">
        <w:t xml:space="preserve"> charging facilities, most of which has not been allowed in cost of service.  In this filing, the Company includes $6 million of capital investment over the term of the ARP, recognizing that the actual amount to be invested is a policy decision by the Commission.</w:t>
      </w:r>
    </w:p>
    <w:p w14:paraId="097EEE67" w14:textId="77777777" w:rsidR="007E53A1" w:rsidRDefault="007E53A1" w:rsidP="007E53A1">
      <w:pPr>
        <w:spacing w:line="360" w:lineRule="auto"/>
        <w:ind w:left="720" w:hanging="720"/>
        <w:jc w:val="both"/>
        <w:rPr>
          <w:b/>
        </w:rPr>
      </w:pPr>
    </w:p>
    <w:p w14:paraId="15296B60" w14:textId="77777777" w:rsidR="00345602" w:rsidRDefault="00345602" w:rsidP="00345602">
      <w:pPr>
        <w:spacing w:line="360" w:lineRule="auto"/>
        <w:ind w:left="720" w:hanging="720"/>
        <w:jc w:val="both"/>
        <w:rPr>
          <w:b/>
        </w:rPr>
      </w:pPr>
      <w:r>
        <w:rPr>
          <w:b/>
        </w:rPr>
        <w:t>Q.</w:t>
      </w:r>
      <w:r>
        <w:rPr>
          <w:b/>
        </w:rPr>
        <w:tab/>
      </w:r>
      <w:r w:rsidRPr="00F2425B">
        <w:rPr>
          <w:b/>
        </w:rPr>
        <w:t>WHAT IS THE CURRENT ACCOUNTING TREATMENT OF GAINS A</w:t>
      </w:r>
      <w:r>
        <w:rPr>
          <w:b/>
        </w:rPr>
        <w:t>N</w:t>
      </w:r>
      <w:r w:rsidRPr="00F2425B">
        <w:rPr>
          <w:b/>
        </w:rPr>
        <w:t xml:space="preserve">D LOSSES ON DISPOSITION OF UTILITY </w:t>
      </w:r>
      <w:r>
        <w:rPr>
          <w:b/>
        </w:rPr>
        <w:t>LAND</w:t>
      </w:r>
      <w:r w:rsidRPr="00F2425B">
        <w:rPr>
          <w:b/>
        </w:rPr>
        <w:t>?</w:t>
      </w:r>
    </w:p>
    <w:p w14:paraId="7108FEF0" w14:textId="28820C7A" w:rsidR="00345602" w:rsidRDefault="00345602" w:rsidP="00345602">
      <w:pPr>
        <w:tabs>
          <w:tab w:val="left" w:pos="2474"/>
        </w:tabs>
        <w:spacing w:line="360" w:lineRule="auto"/>
        <w:ind w:left="720" w:hanging="720"/>
        <w:jc w:val="both"/>
      </w:pPr>
      <w:r>
        <w:t>A.</w:t>
      </w:r>
      <w:r>
        <w:tab/>
        <w:t xml:space="preserve">The Company follows the accounting guidance contained in the Code of Federal Regulations (“CFR”), which directs any gains or losses on sale of land to be recorded above the line when such property has been recorded in account 105, Electric Plant Held </w:t>
      </w:r>
      <w:r w:rsidR="00A05B48">
        <w:t>for</w:t>
      </w:r>
      <w:r>
        <w:t xml:space="preserve"> Future Use (“PHFFU”), and never placed in service for the benefit for customers.</w:t>
      </w:r>
      <w:r w:rsidR="000140A2">
        <w:t xml:space="preserve">  </w:t>
      </w:r>
      <w:r>
        <w:t xml:space="preserve">Further, as provided in the CFR, gains or losses are recorded below the line if the property has been recorded in account 101, Electric Plant-in-Service (“EPIS”). </w:t>
      </w:r>
    </w:p>
    <w:p w14:paraId="01293ED1" w14:textId="77777777" w:rsidR="00345602" w:rsidRDefault="00345602" w:rsidP="00345602">
      <w:pPr>
        <w:spacing w:line="360" w:lineRule="auto"/>
        <w:ind w:left="720" w:hanging="720"/>
        <w:jc w:val="both"/>
        <w:rPr>
          <w:b/>
        </w:rPr>
      </w:pPr>
    </w:p>
    <w:p w14:paraId="265B94B2" w14:textId="6091A8B6" w:rsidR="00345602" w:rsidRDefault="00345602" w:rsidP="00345602">
      <w:pPr>
        <w:spacing w:line="360" w:lineRule="auto"/>
        <w:ind w:left="720" w:hanging="720"/>
        <w:jc w:val="both"/>
        <w:rPr>
          <w:b/>
        </w:rPr>
      </w:pPr>
      <w:r>
        <w:rPr>
          <w:b/>
        </w:rPr>
        <w:t>Q.</w:t>
      </w:r>
      <w:r>
        <w:rPr>
          <w:b/>
        </w:rPr>
        <w:tab/>
      </w:r>
      <w:r w:rsidR="00FF5878">
        <w:rPr>
          <w:b/>
        </w:rPr>
        <w:t>DO YOU HAVE A VIEW ON WHY THE FERC SYSTEM OF ACCOUNTS HAS</w:t>
      </w:r>
      <w:r w:rsidR="00547FA9">
        <w:rPr>
          <w:b/>
        </w:rPr>
        <w:t xml:space="preserve"> </w:t>
      </w:r>
      <w:r>
        <w:rPr>
          <w:b/>
        </w:rPr>
        <w:t>TWO DIFFERENT ACCOUNTING TREATMENTS FOR THE GAINS AND LOSSES ON THE DISPOSITION OF UTILITY LAND?</w:t>
      </w:r>
    </w:p>
    <w:p w14:paraId="789461AF" w14:textId="0F7A961D" w:rsidR="00BF5D09" w:rsidRDefault="00345602" w:rsidP="00BF5D09">
      <w:pPr>
        <w:spacing w:line="360" w:lineRule="auto"/>
        <w:ind w:left="720" w:hanging="720"/>
        <w:jc w:val="both"/>
      </w:pPr>
      <w:r w:rsidRPr="00094B41">
        <w:t>A.</w:t>
      </w:r>
      <w:r>
        <w:tab/>
      </w:r>
      <w:r w:rsidR="00FF5878">
        <w:t xml:space="preserve">Yes.  </w:t>
      </w:r>
      <w:r w:rsidR="00F43B19">
        <w:t xml:space="preserve">The </w:t>
      </w:r>
      <w:r>
        <w:t>logical explanation for the “above-the-line” accounting treatment provided for any gains/losses from the disposition of such property that had only been recorded in PHFFU, but never been placed in account 101, EPIS, is that this would discourage utilities from speculatively acquiring land, including it in rate base, earning a return, then selling it and retaining the gain.  Whereas, the “below-the-line” accounting treatment provided for any gains/losses from the disposition of such property that had previously been recorded in EPIS, determined to be used and useful in the provision of electric service, recognizes that any residual value of such property upon disposition belongs to its owner.</w:t>
      </w:r>
      <w:r w:rsidR="00BF5D09">
        <w:br w:type="page"/>
      </w:r>
    </w:p>
    <w:p w14:paraId="6F7481E7" w14:textId="77777777" w:rsidR="00345602" w:rsidRDefault="00345602" w:rsidP="00345602">
      <w:pPr>
        <w:spacing w:line="360" w:lineRule="auto"/>
        <w:ind w:left="720" w:hanging="720"/>
        <w:jc w:val="both"/>
        <w:rPr>
          <w:b/>
        </w:rPr>
      </w:pPr>
      <w:r w:rsidRPr="00B1421B">
        <w:rPr>
          <w:b/>
        </w:rPr>
        <w:lastRenderedPageBreak/>
        <w:t>Q.</w:t>
      </w:r>
      <w:r w:rsidRPr="00B1421B">
        <w:rPr>
          <w:b/>
        </w:rPr>
        <w:tab/>
      </w:r>
      <w:r w:rsidRPr="00F2425B">
        <w:rPr>
          <w:b/>
        </w:rPr>
        <w:t xml:space="preserve">PLEASE DESCRIBE THE COMPANY’S PROPOSAL </w:t>
      </w:r>
      <w:r>
        <w:rPr>
          <w:b/>
        </w:rPr>
        <w:t>AS TO</w:t>
      </w:r>
      <w:r w:rsidRPr="00F2425B">
        <w:rPr>
          <w:b/>
        </w:rPr>
        <w:t xml:space="preserve"> THE PROSPECTIVE TREATMENT OF GAINS AND LOSSES ON DISPOSITION OF UTILITY </w:t>
      </w:r>
      <w:r>
        <w:rPr>
          <w:b/>
        </w:rPr>
        <w:t>LAND</w:t>
      </w:r>
      <w:r w:rsidRPr="00F2425B">
        <w:rPr>
          <w:b/>
        </w:rPr>
        <w:t>.</w:t>
      </w:r>
    </w:p>
    <w:p w14:paraId="63A85ECC" w14:textId="7D683EDD" w:rsidR="00345602" w:rsidRDefault="00345602" w:rsidP="00345602">
      <w:pPr>
        <w:spacing w:line="360" w:lineRule="auto"/>
        <w:ind w:left="720" w:hanging="720"/>
        <w:jc w:val="both"/>
      </w:pPr>
      <w:r>
        <w:t>A.</w:t>
      </w:r>
      <w:r>
        <w:tab/>
        <w:t>The CFR accounting guidance is clear in the treatment of gains and losses on disposition of utility land</w:t>
      </w:r>
      <w:r w:rsidR="002442DA">
        <w:t>.</w:t>
      </w:r>
      <w:r>
        <w:t xml:space="preserve">  The Company makes prudent investments for the benefit of customers and customers, in turn, pay for the cost of electric service.  The ownership does not transfer from the Company to the customers.  Therefore, any gains and losses from the disposition of any </w:t>
      </w:r>
      <w:r w:rsidR="00745D8F">
        <w:t>land that</w:t>
      </w:r>
      <w:r>
        <w:t xml:space="preserve"> </w:t>
      </w:r>
      <w:r w:rsidR="00E736AC">
        <w:t xml:space="preserve">was </w:t>
      </w:r>
      <w:r>
        <w:t>placed into EPIS to serve customers should be fully retained by the Company.</w:t>
      </w:r>
      <w:r w:rsidR="00E736AC">
        <w:t xml:space="preserve">  On the few occasions when land has been sold, the above accounting guidance has been applied and accepted by the Commission.  </w:t>
      </w:r>
    </w:p>
    <w:p w14:paraId="4D4996E5" w14:textId="77777777" w:rsidR="00345602" w:rsidRDefault="00345602" w:rsidP="00345602">
      <w:pPr>
        <w:spacing w:line="360" w:lineRule="auto"/>
        <w:ind w:left="720" w:hanging="720"/>
        <w:jc w:val="both"/>
      </w:pPr>
    </w:p>
    <w:p w14:paraId="1B2EA06B" w14:textId="277C3062" w:rsidR="00345602" w:rsidRDefault="00345602" w:rsidP="00345602">
      <w:pPr>
        <w:spacing w:line="360" w:lineRule="auto"/>
        <w:ind w:left="720"/>
        <w:jc w:val="both"/>
      </w:pPr>
      <w:r>
        <w:t xml:space="preserve">However, the Company is sensitive to the concerns Commission Staff has raised recently related to the disposition of land.  While Georgia Power has consistently followed the FERC guidance provided in the CFR, the Company agrees with Staff that the Commission has the ability to establish retail ratemaking on its own application of this guidance.  As a means of facilitating efficiency going forward, the Company proposes that the Commission adopt the following policy regarding the sharing of any gains or losses on the disposition of the Company’s utility land </w:t>
      </w:r>
      <w:r w:rsidR="002F50AF">
        <w:t xml:space="preserve">after </w:t>
      </w:r>
      <w:r>
        <w:t>January 1, 2020.</w:t>
      </w:r>
    </w:p>
    <w:p w14:paraId="66CCD873" w14:textId="77777777" w:rsidR="00345602" w:rsidRDefault="00345602" w:rsidP="00345602">
      <w:pPr>
        <w:spacing w:line="360" w:lineRule="auto"/>
        <w:ind w:left="720"/>
        <w:jc w:val="both"/>
      </w:pPr>
    </w:p>
    <w:p w14:paraId="06480786" w14:textId="188CF777" w:rsidR="00770FF0" w:rsidRDefault="00E736AC" w:rsidP="004C1474">
      <w:pPr>
        <w:spacing w:line="360" w:lineRule="auto"/>
        <w:ind w:left="720"/>
        <w:jc w:val="both"/>
      </w:pPr>
      <w:r>
        <w:t>A</w:t>
      </w:r>
      <w:r w:rsidR="00345602">
        <w:t>ny net gains or losses on disposition of utility land, including land held in PHFFU, be shared 20% with customers with the remaining 80% to be retained by the Company.  The fair market value (“FMV”) of the land will be determined at the time that it is moved from EPIS (FERC account 101) or PHFFU (FERC account 105) to non-utility property (FERC account 121) by having the land appraised by a third-party.  The gain or loss subject to sharing upon the future sale will be measured by taking the difference between the FMV and the NBV of the land at the time it is transferred to non-utility property.  This sharing proposal has no impact to the revenue requirement in this filing since there are no gains or losses from land sales projected in the budget</w:t>
      </w:r>
      <w:r w:rsidR="00770FF0">
        <w:t xml:space="preserve">.  </w:t>
      </w:r>
      <w:r w:rsidR="00951387">
        <w:t xml:space="preserve">The Company is requesting </w:t>
      </w:r>
      <w:r w:rsidR="00770FF0">
        <w:t xml:space="preserve">that </w:t>
      </w:r>
      <w:r w:rsidR="00951387">
        <w:t xml:space="preserve">the </w:t>
      </w:r>
      <w:r w:rsidR="00951387">
        <w:lastRenderedPageBreak/>
        <w:t xml:space="preserve">Commission adopt this proposal for the reasons that </w:t>
      </w:r>
      <w:r w:rsidR="00924C50">
        <w:t>we</w:t>
      </w:r>
      <w:r w:rsidR="00951387">
        <w:t xml:space="preserve"> have already articulated in </w:t>
      </w:r>
      <w:r w:rsidR="00924C50">
        <w:t>our</w:t>
      </w:r>
      <w:r w:rsidR="00951387">
        <w:t xml:space="preserve"> testimony.</w:t>
      </w:r>
    </w:p>
    <w:p w14:paraId="53632E08" w14:textId="1A66011E" w:rsidR="00C47C23" w:rsidRDefault="00C47C23" w:rsidP="0049082A">
      <w:pPr>
        <w:spacing w:line="360" w:lineRule="auto"/>
        <w:ind w:left="720"/>
        <w:jc w:val="both"/>
      </w:pPr>
    </w:p>
    <w:p w14:paraId="71CA3CCC" w14:textId="77777777" w:rsidR="00013ADC" w:rsidRPr="0049082A" w:rsidRDefault="00013ADC" w:rsidP="0049082A">
      <w:pPr>
        <w:keepNext/>
        <w:numPr>
          <w:ilvl w:val="1"/>
          <w:numId w:val="0"/>
        </w:numPr>
        <w:tabs>
          <w:tab w:val="num" w:pos="720"/>
        </w:tabs>
        <w:spacing w:line="360" w:lineRule="auto"/>
        <w:ind w:left="720" w:hanging="720"/>
        <w:jc w:val="both"/>
        <w:outlineLvl w:val="1"/>
        <w:rPr>
          <w:rFonts w:eastAsia="Times New Roman"/>
          <w:b/>
          <w:lang w:eastAsia="en-US"/>
        </w:rPr>
      </w:pPr>
      <w:r w:rsidRPr="0049082A">
        <w:rPr>
          <w:rFonts w:eastAsia="Times New Roman"/>
          <w:b/>
          <w:lang w:eastAsia="en-US"/>
        </w:rPr>
        <w:t xml:space="preserve">Q. </w:t>
      </w:r>
      <w:r w:rsidRPr="0049082A">
        <w:rPr>
          <w:rFonts w:eastAsia="Times New Roman"/>
          <w:b/>
          <w:lang w:eastAsia="en-US"/>
        </w:rPr>
        <w:tab/>
        <w:t>ARE LAND RIGHTS INCLUDED IN THE COMPANY’S PROPOSAL?</w:t>
      </w:r>
    </w:p>
    <w:p w14:paraId="0874C171" w14:textId="26A9E1B8" w:rsidR="00B65E02" w:rsidRDefault="00013ADC" w:rsidP="0049082A">
      <w:pPr>
        <w:keepNext/>
        <w:spacing w:line="360" w:lineRule="auto"/>
        <w:ind w:left="720" w:hanging="720"/>
        <w:jc w:val="both"/>
      </w:pPr>
      <w:r w:rsidRPr="0049082A">
        <w:rPr>
          <w:rFonts w:eastAsia="Times New Roman"/>
          <w:lang w:eastAsia="en-US"/>
        </w:rPr>
        <w:t>A.</w:t>
      </w:r>
      <w:r w:rsidRPr="0049082A">
        <w:rPr>
          <w:rFonts w:eastAsia="Times New Roman"/>
          <w:lang w:eastAsia="en-US"/>
        </w:rPr>
        <w:tab/>
        <w:t>No.  Land rights consist of easements and rights of way that can only be utilized for utility purposes.  Land right agreements cannot be transferred to other parties.  If the land rights are no longer needed, the agreement would be terminated.</w:t>
      </w:r>
      <w:r>
        <w:t xml:space="preserve">  </w:t>
      </w:r>
    </w:p>
    <w:p w14:paraId="238DB845" w14:textId="0E52CDF7" w:rsidR="000C6293" w:rsidRDefault="000C6293" w:rsidP="0028296D">
      <w:pPr>
        <w:spacing w:line="360" w:lineRule="auto"/>
        <w:ind w:left="720" w:hanging="720"/>
        <w:jc w:val="both"/>
      </w:pPr>
    </w:p>
    <w:p w14:paraId="19B44351" w14:textId="77777777" w:rsidR="0049082A" w:rsidRDefault="0049082A" w:rsidP="0028296D">
      <w:pPr>
        <w:spacing w:line="360" w:lineRule="auto"/>
        <w:ind w:left="720" w:hanging="720"/>
        <w:jc w:val="both"/>
      </w:pPr>
    </w:p>
    <w:p w14:paraId="3A401811" w14:textId="5F0E0C43" w:rsidR="00F526A6" w:rsidRDefault="00F526A6" w:rsidP="0049082A">
      <w:pPr>
        <w:pStyle w:val="OutlineL1"/>
        <w:numPr>
          <w:ilvl w:val="0"/>
          <w:numId w:val="0"/>
        </w:numPr>
        <w:spacing w:after="240"/>
      </w:pPr>
      <w:r w:rsidRPr="00F526A6">
        <w:rPr>
          <w:u w:val="none"/>
        </w:rPr>
        <w:t>X.</w:t>
      </w:r>
      <w:r>
        <w:rPr>
          <w:u w:val="none"/>
        </w:rPr>
        <w:t xml:space="preserve">      </w:t>
      </w:r>
      <w:r w:rsidR="000C6293">
        <w:t>TRANSMISSION AND DISTRIBUTION INVESTMENTS</w:t>
      </w:r>
    </w:p>
    <w:p w14:paraId="38F95A54" w14:textId="77777777" w:rsidR="0049082A" w:rsidRPr="00D243A9" w:rsidRDefault="0049082A" w:rsidP="00D243A9">
      <w:pPr>
        <w:pStyle w:val="BodyText"/>
        <w:rPr>
          <w:lang w:eastAsia="en-US"/>
        </w:rPr>
      </w:pPr>
    </w:p>
    <w:p w14:paraId="32811001" w14:textId="77777777" w:rsidR="000C6293" w:rsidRPr="0023730D" w:rsidRDefault="007E53A1" w:rsidP="00695A4A">
      <w:pPr>
        <w:pStyle w:val="BodyText"/>
        <w:spacing w:after="0" w:line="360" w:lineRule="auto"/>
        <w:ind w:left="720" w:hanging="720"/>
        <w:rPr>
          <w:b/>
          <w:lang w:eastAsia="en-US"/>
        </w:rPr>
      </w:pPr>
      <w:r w:rsidRPr="0023730D">
        <w:rPr>
          <w:b/>
        </w:rPr>
        <w:t>Q</w:t>
      </w:r>
      <w:r w:rsidR="000C6293" w:rsidRPr="0023730D">
        <w:rPr>
          <w:b/>
        </w:rPr>
        <w:t>.</w:t>
      </w:r>
      <w:r w:rsidRPr="0023730D">
        <w:rPr>
          <w:b/>
        </w:rPr>
        <w:t xml:space="preserve"> </w:t>
      </w:r>
      <w:r w:rsidRPr="0023730D">
        <w:rPr>
          <w:b/>
        </w:rPr>
        <w:tab/>
        <w:t>PLEASE PROVIDE AN OVERVIEW OF THE GEORGIA TRANSMISSION SYSTEM.</w:t>
      </w:r>
    </w:p>
    <w:p w14:paraId="3A6C69A9" w14:textId="30DC6F5E" w:rsidR="00BF5D09" w:rsidRPr="00BF5D09" w:rsidRDefault="007E53A1" w:rsidP="00BF5D09">
      <w:pPr>
        <w:pStyle w:val="OutlineL1"/>
        <w:numPr>
          <w:ilvl w:val="0"/>
          <w:numId w:val="0"/>
        </w:numPr>
        <w:spacing w:after="0" w:line="360" w:lineRule="auto"/>
        <w:ind w:left="720" w:hanging="720"/>
        <w:jc w:val="both"/>
        <w:rPr>
          <w:b w:val="0"/>
          <w:szCs w:val="24"/>
          <w:u w:val="none"/>
        </w:rPr>
      </w:pPr>
      <w:r w:rsidRPr="00C23928">
        <w:rPr>
          <w:b w:val="0"/>
          <w:szCs w:val="24"/>
          <w:u w:val="none"/>
        </w:rPr>
        <w:t>A.</w:t>
      </w:r>
      <w:r w:rsidR="007A2033" w:rsidRPr="00C23928">
        <w:rPr>
          <w:b w:val="0"/>
          <w:szCs w:val="24"/>
          <w:u w:val="none"/>
        </w:rPr>
        <w:tab/>
      </w:r>
      <w:bookmarkStart w:id="35" w:name="_Hlk12264796"/>
      <w:r w:rsidRPr="00C23928">
        <w:rPr>
          <w:b w:val="0"/>
          <w:szCs w:val="24"/>
          <w:u w:val="none"/>
        </w:rPr>
        <w:t>This transmission system, along with other</w:t>
      </w:r>
      <w:r w:rsidR="00077F17" w:rsidRPr="00C23928">
        <w:rPr>
          <w:b w:val="0"/>
          <w:szCs w:val="24"/>
          <w:u w:val="none"/>
        </w:rPr>
        <w:t xml:space="preserve"> Integrated Transmission System (“</w:t>
      </w:r>
      <w:r w:rsidRPr="00C23928">
        <w:rPr>
          <w:b w:val="0"/>
          <w:szCs w:val="24"/>
          <w:u w:val="none"/>
        </w:rPr>
        <w:t>ITS</w:t>
      </w:r>
      <w:r w:rsidR="00077F17" w:rsidRPr="00C23928">
        <w:rPr>
          <w:b w:val="0"/>
          <w:szCs w:val="24"/>
          <w:u w:val="none"/>
        </w:rPr>
        <w:t xml:space="preserve">”) </w:t>
      </w:r>
      <w:r w:rsidRPr="00C23928">
        <w:rPr>
          <w:b w:val="0"/>
          <w:szCs w:val="24"/>
          <w:u w:val="none"/>
        </w:rPr>
        <w:t>transmission facilities, connect</w:t>
      </w:r>
      <w:r w:rsidR="007E7BB6">
        <w:rPr>
          <w:b w:val="0"/>
          <w:szCs w:val="24"/>
          <w:u w:val="none"/>
        </w:rPr>
        <w:t>s</w:t>
      </w:r>
      <w:r w:rsidRPr="00C23928">
        <w:rPr>
          <w:b w:val="0"/>
          <w:szCs w:val="24"/>
          <w:u w:val="none"/>
        </w:rPr>
        <w:t xml:space="preserve"> approximately 15,</w:t>
      </w:r>
      <w:r w:rsidR="00AF6DA4" w:rsidRPr="00C23928">
        <w:rPr>
          <w:b w:val="0"/>
          <w:szCs w:val="24"/>
          <w:u w:val="none"/>
        </w:rPr>
        <w:t>30</w:t>
      </w:r>
      <w:r w:rsidR="00494E06">
        <w:rPr>
          <w:b w:val="0"/>
          <w:szCs w:val="24"/>
          <w:u w:val="none"/>
        </w:rPr>
        <w:t>0</w:t>
      </w:r>
      <w:r w:rsidRPr="00C23928">
        <w:rPr>
          <w:b w:val="0"/>
          <w:szCs w:val="24"/>
          <w:u w:val="none"/>
        </w:rPr>
        <w:t xml:space="preserve"> MW of </w:t>
      </w:r>
      <w:r w:rsidR="00B90F81" w:rsidRPr="00C23928">
        <w:rPr>
          <w:b w:val="0"/>
          <w:szCs w:val="24"/>
          <w:u w:val="none"/>
        </w:rPr>
        <w:t>Georgia Power</w:t>
      </w:r>
      <w:r w:rsidRPr="00C23928">
        <w:rPr>
          <w:b w:val="0"/>
          <w:szCs w:val="24"/>
          <w:u w:val="none"/>
        </w:rPr>
        <w:t>-owned, installed generating capacity</w:t>
      </w:r>
      <w:r w:rsidR="00E00227">
        <w:rPr>
          <w:b w:val="0"/>
          <w:szCs w:val="24"/>
          <w:u w:val="none"/>
        </w:rPr>
        <w:t>.  The Company also has energy available from system pool purchases and PPAs.</w:t>
      </w:r>
      <w:r w:rsidRPr="00C23928">
        <w:rPr>
          <w:b w:val="0"/>
          <w:szCs w:val="24"/>
          <w:u w:val="none"/>
        </w:rPr>
        <w:t xml:space="preserve">  </w:t>
      </w:r>
      <w:bookmarkEnd w:id="35"/>
      <w:r w:rsidRPr="00C23928">
        <w:rPr>
          <w:b w:val="0"/>
          <w:szCs w:val="24"/>
          <w:u w:val="none"/>
        </w:rPr>
        <w:t>Georgia Power</w:t>
      </w:r>
      <w:r w:rsidR="00E00227">
        <w:rPr>
          <w:b w:val="0"/>
          <w:szCs w:val="24"/>
          <w:u w:val="none"/>
        </w:rPr>
        <w:t xml:space="preserve"> participates in the ITS and </w:t>
      </w:r>
      <w:r w:rsidRPr="00C23928">
        <w:rPr>
          <w:b w:val="0"/>
          <w:szCs w:val="24"/>
          <w:u w:val="none"/>
        </w:rPr>
        <w:t>owns approximately 12,</w:t>
      </w:r>
      <w:r w:rsidR="000F1E2F">
        <w:rPr>
          <w:b w:val="0"/>
          <w:szCs w:val="24"/>
          <w:u w:val="none"/>
        </w:rPr>
        <w:t>500</w:t>
      </w:r>
      <w:r w:rsidRPr="00C23928">
        <w:rPr>
          <w:b w:val="0"/>
          <w:szCs w:val="24"/>
          <w:u w:val="none"/>
        </w:rPr>
        <w:t xml:space="preserve"> miles of the over 17,000 miles of transmission lines that make up Georgia</w:t>
      </w:r>
      <w:r w:rsidR="00B849AD" w:rsidRPr="00C23928">
        <w:rPr>
          <w:b w:val="0"/>
          <w:szCs w:val="24"/>
          <w:u w:val="none"/>
        </w:rPr>
        <w:t>’s</w:t>
      </w:r>
      <w:r w:rsidRPr="00C23928">
        <w:rPr>
          <w:b w:val="0"/>
          <w:szCs w:val="24"/>
          <w:u w:val="none"/>
        </w:rPr>
        <w:t xml:space="preserve"> integrated transmission grid.  This transmission grid is connected to 1,776 Georgia Power-owned transmission &amp; distribution substations.  </w:t>
      </w:r>
      <w:r w:rsidR="00B849AD" w:rsidRPr="00C23928">
        <w:rPr>
          <w:b w:val="0"/>
          <w:szCs w:val="24"/>
          <w:u w:val="none"/>
        </w:rPr>
        <w:t xml:space="preserve">The </w:t>
      </w:r>
      <w:r w:rsidR="00273ADC">
        <w:rPr>
          <w:b w:val="0"/>
          <w:szCs w:val="24"/>
          <w:u w:val="none"/>
        </w:rPr>
        <w:t xml:space="preserve">Company’s </w:t>
      </w:r>
      <w:r w:rsidR="00B849AD" w:rsidRPr="00C23928">
        <w:rPr>
          <w:b w:val="0"/>
          <w:szCs w:val="24"/>
          <w:u w:val="none"/>
        </w:rPr>
        <w:t>total residential, commercial, and industrial peak demand served in 2018 was approximately 15,7</w:t>
      </w:r>
      <w:r w:rsidR="000F1E2F">
        <w:rPr>
          <w:b w:val="0"/>
          <w:szCs w:val="24"/>
          <w:u w:val="none"/>
        </w:rPr>
        <w:t>00</w:t>
      </w:r>
      <w:r w:rsidR="00B849AD" w:rsidRPr="00C23928">
        <w:rPr>
          <w:b w:val="0"/>
          <w:szCs w:val="24"/>
          <w:u w:val="none"/>
        </w:rPr>
        <w:t xml:space="preserve"> MW.  </w:t>
      </w:r>
      <w:r w:rsidRPr="00C23928">
        <w:rPr>
          <w:b w:val="0"/>
          <w:szCs w:val="24"/>
          <w:u w:val="none"/>
        </w:rPr>
        <w:t>Transmission system voltages include 500kV and 230kV for bulk power transmission, 115kV and 161kV for much of the load-serving transmission, and sub-transmission voltages of 69kV and 46kV to supply the remaining (and typically older) load-serving facilities.</w:t>
      </w:r>
      <w:r w:rsidR="00BF5D09">
        <w:rPr>
          <w:szCs w:val="24"/>
        </w:rPr>
        <w:br w:type="page"/>
      </w:r>
    </w:p>
    <w:p w14:paraId="6C1E584D" w14:textId="77777777" w:rsidR="007E53A1" w:rsidRPr="00652073" w:rsidRDefault="007E53A1" w:rsidP="00AF6DA4">
      <w:pPr>
        <w:keepNext/>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lastRenderedPageBreak/>
        <w:t>Q.</w:t>
      </w:r>
      <w:r w:rsidRPr="00652073">
        <w:rPr>
          <w:rFonts w:eastAsia="Times New Roman"/>
          <w:b/>
          <w:lang w:eastAsia="en-US"/>
        </w:rPr>
        <w:tab/>
        <w:t xml:space="preserve">PLEASE PROVIDE AN OVERVIEW OF GEORGIA POWER’S DISTRIBUTION SYSTEM.  </w:t>
      </w:r>
    </w:p>
    <w:p w14:paraId="632E6EFE" w14:textId="77777777" w:rsidR="00DF5CFB" w:rsidRDefault="007E53A1" w:rsidP="00AF6DA4">
      <w:pPr>
        <w:pStyle w:val="Indent"/>
        <w:keepNext/>
        <w:widowControl/>
        <w:spacing w:after="0"/>
        <w:ind w:hanging="720"/>
        <w:contextualSpacing/>
        <w:rPr>
          <w:szCs w:val="24"/>
        </w:rPr>
      </w:pPr>
      <w:r w:rsidRPr="00DC40C0">
        <w:rPr>
          <w:szCs w:val="24"/>
        </w:rPr>
        <w:t>A.</w:t>
      </w:r>
      <w:r w:rsidRPr="00652073">
        <w:rPr>
          <w:szCs w:val="24"/>
        </w:rPr>
        <w:tab/>
        <w:t>The Company’s assigned service territory encompasses roughly 57,000 square miles across the state.</w:t>
      </w:r>
      <w:r w:rsidR="00B849AD">
        <w:rPr>
          <w:szCs w:val="24"/>
        </w:rPr>
        <w:t xml:space="preserve">  </w:t>
      </w:r>
      <w:r w:rsidRPr="00652073">
        <w:rPr>
          <w:szCs w:val="24"/>
        </w:rPr>
        <w:t xml:space="preserve">The Georgia Power distribution system serves customers in all but four of Georgia’s 159 counties.  </w:t>
      </w:r>
      <w:r w:rsidR="00DD1BC2" w:rsidRPr="00DD1BC2">
        <w:rPr>
          <w:szCs w:val="24"/>
        </w:rPr>
        <w:t>The system is made up of more than 2,</w:t>
      </w:r>
      <w:r w:rsidR="00C970E8">
        <w:rPr>
          <w:szCs w:val="24"/>
        </w:rPr>
        <w:t>5</w:t>
      </w:r>
      <w:r w:rsidR="00DD1BC2" w:rsidRPr="00DD1BC2">
        <w:rPr>
          <w:szCs w:val="24"/>
        </w:rPr>
        <w:t>00 distribution feeders and approximately 215 Network Underground feeders</w:t>
      </w:r>
      <w:r w:rsidR="00DD1BC2">
        <w:rPr>
          <w:szCs w:val="24"/>
        </w:rPr>
        <w:t xml:space="preserve">.  </w:t>
      </w:r>
      <w:r w:rsidRPr="00652073">
        <w:rPr>
          <w:szCs w:val="24"/>
        </w:rPr>
        <w:t>Feeders are distribution lines that originate from distribution substations and connect individual customers to the electric grid</w:t>
      </w:r>
      <w:r w:rsidR="00B849AD">
        <w:rPr>
          <w:szCs w:val="24"/>
        </w:rPr>
        <w:t>. Feeders</w:t>
      </w:r>
      <w:r>
        <w:rPr>
          <w:szCs w:val="24"/>
        </w:rPr>
        <w:t xml:space="preserve"> are also commonly referred to as circuits.</w:t>
      </w:r>
      <w:r w:rsidR="00FD64AD">
        <w:rPr>
          <w:szCs w:val="24"/>
        </w:rPr>
        <w:t xml:space="preserve">  </w:t>
      </w:r>
    </w:p>
    <w:p w14:paraId="0764EB35" w14:textId="77777777" w:rsidR="004963A3" w:rsidRDefault="004963A3" w:rsidP="00AF6DA4">
      <w:pPr>
        <w:pStyle w:val="Indent"/>
        <w:keepNext/>
        <w:widowControl/>
        <w:spacing w:after="0"/>
        <w:ind w:hanging="720"/>
        <w:contextualSpacing/>
        <w:rPr>
          <w:szCs w:val="24"/>
        </w:rPr>
      </w:pPr>
    </w:p>
    <w:p w14:paraId="459FF711" w14:textId="77777777" w:rsidR="007E53A1" w:rsidRPr="00DC40C0" w:rsidRDefault="004963A3" w:rsidP="00AF6DA4">
      <w:pPr>
        <w:pStyle w:val="Indent"/>
        <w:keepNext/>
        <w:widowControl/>
        <w:spacing w:after="0"/>
        <w:ind w:hanging="720"/>
        <w:contextualSpacing/>
        <w:rPr>
          <w:szCs w:val="24"/>
        </w:rPr>
      </w:pPr>
      <w:r>
        <w:rPr>
          <w:szCs w:val="24"/>
        </w:rPr>
        <w:tab/>
      </w:r>
      <w:r w:rsidR="007E53A1" w:rsidRPr="00DC40C0">
        <w:rPr>
          <w:szCs w:val="24"/>
        </w:rPr>
        <w:t>The Georgia Power distribution system includes both overhead and underground assets.  Georgia Power owns and maintains nearly 1.4 million poles, over 680,000 transformers, and nearly 49,000 miles of overhead and 26,000 miles of underground line on its distribution system.</w:t>
      </w:r>
    </w:p>
    <w:p w14:paraId="24D62477" w14:textId="77777777" w:rsidR="00F152C8" w:rsidRPr="00652073" w:rsidRDefault="00F152C8" w:rsidP="00582CD9">
      <w:pPr>
        <w:pStyle w:val="Indent"/>
        <w:spacing w:after="0"/>
        <w:contextualSpacing/>
        <w:rPr>
          <w:szCs w:val="24"/>
        </w:rPr>
      </w:pPr>
    </w:p>
    <w:p w14:paraId="4641A22D" w14:textId="77777777" w:rsidR="007E53A1" w:rsidRPr="00652073" w:rsidRDefault="007E53A1" w:rsidP="00F152C8">
      <w:pPr>
        <w:pStyle w:val="StandardL2"/>
        <w:widowControl w:val="0"/>
        <w:contextualSpacing/>
        <w:jc w:val="both"/>
        <w:rPr>
          <w:szCs w:val="24"/>
        </w:rPr>
      </w:pPr>
      <w:bookmarkStart w:id="36" w:name="_Hlk9633953"/>
      <w:r w:rsidRPr="00652073">
        <w:rPr>
          <w:rFonts w:eastAsia="Times New Roman"/>
          <w:szCs w:val="24"/>
        </w:rPr>
        <w:t>PLEASE DISCUSS THE COMPANY’S MAJOR T&amp;D INVESTMENTS OVER THE PAST DECADE.</w:t>
      </w:r>
    </w:p>
    <w:p w14:paraId="5EF773FC" w14:textId="77777777" w:rsidR="004963A3" w:rsidRDefault="007E53A1" w:rsidP="00FF1E72">
      <w:pPr>
        <w:pStyle w:val="hang"/>
        <w:spacing w:after="0"/>
        <w:rPr>
          <w:szCs w:val="24"/>
        </w:rPr>
      </w:pPr>
      <w:r w:rsidRPr="007921DA">
        <w:t>A.</w:t>
      </w:r>
      <w:r w:rsidRPr="00652073">
        <w:rPr>
          <w:szCs w:val="24"/>
        </w:rPr>
        <w:tab/>
      </w:r>
      <w:r>
        <w:rPr>
          <w:szCs w:val="24"/>
        </w:rPr>
        <w:t>The</w:t>
      </w:r>
      <w:r w:rsidRPr="00652073">
        <w:rPr>
          <w:szCs w:val="24"/>
        </w:rPr>
        <w:t xml:space="preserve"> Company continually invests </w:t>
      </w:r>
      <w:r w:rsidR="00252148">
        <w:rPr>
          <w:szCs w:val="24"/>
        </w:rPr>
        <w:t>in</w:t>
      </w:r>
      <w:r w:rsidRPr="00652073">
        <w:rPr>
          <w:szCs w:val="24"/>
        </w:rPr>
        <w:t xml:space="preserve"> </w:t>
      </w:r>
      <w:r w:rsidR="004B3190">
        <w:rPr>
          <w:szCs w:val="24"/>
        </w:rPr>
        <w:t>T&amp;D systems</w:t>
      </w:r>
      <w:r w:rsidR="004B3190" w:rsidRPr="00652073">
        <w:rPr>
          <w:szCs w:val="24"/>
        </w:rPr>
        <w:t xml:space="preserve"> </w:t>
      </w:r>
      <w:r w:rsidRPr="00652073">
        <w:rPr>
          <w:szCs w:val="24"/>
        </w:rPr>
        <w:t xml:space="preserve">as needed to connect new generation and load to the grid. </w:t>
      </w:r>
      <w:r w:rsidR="00031535">
        <w:rPr>
          <w:szCs w:val="24"/>
        </w:rPr>
        <w:tab/>
      </w:r>
    </w:p>
    <w:p w14:paraId="56296A01" w14:textId="77777777" w:rsidR="004963A3" w:rsidRDefault="004963A3" w:rsidP="00FF1E72">
      <w:pPr>
        <w:pStyle w:val="hang"/>
        <w:spacing w:after="0"/>
        <w:rPr>
          <w:szCs w:val="24"/>
        </w:rPr>
      </w:pPr>
    </w:p>
    <w:p w14:paraId="0DD491F1" w14:textId="77777777" w:rsidR="007E53A1" w:rsidRDefault="00B90F81" w:rsidP="009D5DBB">
      <w:pPr>
        <w:pStyle w:val="hang"/>
        <w:spacing w:after="0"/>
        <w:ind w:firstLine="0"/>
        <w:rPr>
          <w:szCs w:val="24"/>
        </w:rPr>
      </w:pPr>
      <w:r>
        <w:rPr>
          <w:szCs w:val="24"/>
        </w:rPr>
        <w:t>In</w:t>
      </w:r>
      <w:r w:rsidR="007E53A1" w:rsidRPr="00652073">
        <w:rPr>
          <w:szCs w:val="24"/>
        </w:rPr>
        <w:t xml:space="preserve"> 2007, </w:t>
      </w:r>
      <w:r w:rsidR="007E53A1">
        <w:rPr>
          <w:szCs w:val="24"/>
        </w:rPr>
        <w:t>the</w:t>
      </w:r>
      <w:r w:rsidR="00C03A03">
        <w:rPr>
          <w:szCs w:val="24"/>
        </w:rPr>
        <w:t xml:space="preserve"> Commission approved </w:t>
      </w:r>
      <w:r w:rsidR="007E53A1">
        <w:rPr>
          <w:szCs w:val="24"/>
        </w:rPr>
        <w:t xml:space="preserve">implementation </w:t>
      </w:r>
      <w:r w:rsidR="007E53A1" w:rsidRPr="00652073">
        <w:rPr>
          <w:szCs w:val="24"/>
        </w:rPr>
        <w:t>of</w:t>
      </w:r>
      <w:r w:rsidR="00C03A03">
        <w:rPr>
          <w:szCs w:val="24"/>
        </w:rPr>
        <w:t xml:space="preserve"> the Company’s</w:t>
      </w:r>
      <w:r w:rsidR="007E53A1" w:rsidRPr="00652073">
        <w:rPr>
          <w:szCs w:val="24"/>
        </w:rPr>
        <w:t xml:space="preserve"> $275 million AMI</w:t>
      </w:r>
      <w:r w:rsidR="00C03A03">
        <w:rPr>
          <w:szCs w:val="24"/>
        </w:rPr>
        <w:t xml:space="preserve"> </w:t>
      </w:r>
      <w:r w:rsidR="007E53A1" w:rsidRPr="00652073">
        <w:rPr>
          <w:szCs w:val="24"/>
        </w:rPr>
        <w:t>project</w:t>
      </w:r>
      <w:r w:rsidR="00C03A03">
        <w:rPr>
          <w:szCs w:val="24"/>
        </w:rPr>
        <w:t xml:space="preserve"> and the </w:t>
      </w:r>
      <w:r w:rsidR="007E53A1">
        <w:rPr>
          <w:szCs w:val="24"/>
        </w:rPr>
        <w:t xml:space="preserve">Company replaced </w:t>
      </w:r>
      <w:r w:rsidR="007E53A1" w:rsidRPr="00652073">
        <w:rPr>
          <w:szCs w:val="24"/>
        </w:rPr>
        <w:t>legacy mechanical meters with smart meters by the end of 2012.</w:t>
      </w:r>
      <w:r w:rsidR="007E53A1">
        <w:rPr>
          <w:szCs w:val="24"/>
        </w:rPr>
        <w:t xml:space="preserve">  </w:t>
      </w:r>
      <w:r w:rsidR="007E53A1" w:rsidRPr="00652073">
        <w:rPr>
          <w:szCs w:val="24"/>
        </w:rPr>
        <w:t>Furthermore, in 2010,</w:t>
      </w:r>
      <w:r w:rsidR="007E53A1">
        <w:rPr>
          <w:szCs w:val="24"/>
        </w:rPr>
        <w:t xml:space="preserve"> the U.S. Department of Energy awarded Georgia Power </w:t>
      </w:r>
      <w:r w:rsidR="00252148">
        <w:rPr>
          <w:szCs w:val="24"/>
        </w:rPr>
        <w:t>a</w:t>
      </w:r>
      <w:r w:rsidR="007E53A1">
        <w:rPr>
          <w:szCs w:val="24"/>
        </w:rPr>
        <w:t xml:space="preserve"> </w:t>
      </w:r>
      <w:r w:rsidR="007E53A1" w:rsidRPr="000052DD">
        <w:rPr>
          <w:szCs w:val="24"/>
        </w:rPr>
        <w:t>Smart Grid Investment Grant</w:t>
      </w:r>
      <w:r w:rsidR="007E53A1">
        <w:rPr>
          <w:szCs w:val="24"/>
        </w:rPr>
        <w:t xml:space="preserve"> (“</w:t>
      </w:r>
      <w:r w:rsidR="007E53A1" w:rsidRPr="00652073">
        <w:rPr>
          <w:szCs w:val="24"/>
        </w:rPr>
        <w:t>SGIG</w:t>
      </w:r>
      <w:r w:rsidR="007E53A1">
        <w:rPr>
          <w:szCs w:val="24"/>
        </w:rPr>
        <w:t xml:space="preserve">”). </w:t>
      </w:r>
      <w:r w:rsidR="00031535">
        <w:rPr>
          <w:szCs w:val="24"/>
        </w:rPr>
        <w:t xml:space="preserve"> </w:t>
      </w:r>
      <w:r w:rsidR="007E53A1" w:rsidRPr="000052DD">
        <w:rPr>
          <w:szCs w:val="24"/>
        </w:rPr>
        <w:t>During the SGIG project, the Company increased its deployment of intelligent substation and line devices, asset health monitors, and self-</w:t>
      </w:r>
      <w:r w:rsidR="007E53A1">
        <w:rPr>
          <w:szCs w:val="24"/>
        </w:rPr>
        <w:t>healing</w:t>
      </w:r>
      <w:r w:rsidR="00C81514">
        <w:rPr>
          <w:szCs w:val="24"/>
        </w:rPr>
        <w:t xml:space="preserve"> distribution</w:t>
      </w:r>
      <w:r w:rsidR="007E53A1" w:rsidRPr="000052DD">
        <w:rPr>
          <w:szCs w:val="24"/>
        </w:rPr>
        <w:t xml:space="preserve"> networks.</w:t>
      </w:r>
      <w:r w:rsidR="004B3190">
        <w:rPr>
          <w:rStyle w:val="FootnoteReference"/>
          <w:szCs w:val="24"/>
        </w:rPr>
        <w:footnoteReference w:id="1"/>
      </w:r>
      <w:r w:rsidR="007E53A1" w:rsidRPr="000052DD">
        <w:rPr>
          <w:szCs w:val="24"/>
        </w:rPr>
        <w:t xml:space="preserve">  </w:t>
      </w:r>
      <w:r w:rsidR="007E53A1" w:rsidRPr="00652073">
        <w:rPr>
          <w:szCs w:val="24"/>
        </w:rPr>
        <w:t>From 2010 to 2013, the Company invested over $100 million in smart grid technologies</w:t>
      </w:r>
      <w:r w:rsidR="003F0C04">
        <w:rPr>
          <w:szCs w:val="24"/>
        </w:rPr>
        <w:t xml:space="preserve"> under the SGIG project</w:t>
      </w:r>
      <w:r w:rsidR="007E53A1" w:rsidRPr="00652073">
        <w:rPr>
          <w:szCs w:val="24"/>
        </w:rPr>
        <w:t>.</w:t>
      </w:r>
      <w:r w:rsidR="004B3190">
        <w:rPr>
          <w:szCs w:val="24"/>
        </w:rPr>
        <w:t xml:space="preserve">  Since 2013, the Company has continued its investment in system improvements similar to those undertaken during SGIG.</w:t>
      </w:r>
    </w:p>
    <w:p w14:paraId="345E08BE" w14:textId="7EB6796E" w:rsidR="00252148" w:rsidRPr="00966E23" w:rsidRDefault="00252148" w:rsidP="00252148">
      <w:pPr>
        <w:pStyle w:val="Indent"/>
        <w:keepNext/>
        <w:keepLines/>
        <w:rPr>
          <w:szCs w:val="24"/>
        </w:rPr>
      </w:pPr>
      <w:r w:rsidRPr="005B3AEF">
        <w:rPr>
          <w:szCs w:val="24"/>
        </w:rPr>
        <w:lastRenderedPageBreak/>
        <w:t>As load growth declined in 2007, older equipment replacements due to load growth projects also declined.</w:t>
      </w:r>
      <w:r>
        <w:rPr>
          <w:szCs w:val="24"/>
        </w:rPr>
        <w:t xml:space="preserve">  Each year since 2008, the Company </w:t>
      </w:r>
      <w:r w:rsidRPr="00966E23">
        <w:rPr>
          <w:szCs w:val="24"/>
        </w:rPr>
        <w:t>has increased spending</w:t>
      </w:r>
      <w:r>
        <w:rPr>
          <w:szCs w:val="24"/>
        </w:rPr>
        <w:t xml:space="preserve"> </w:t>
      </w:r>
      <w:r w:rsidRPr="00966E23">
        <w:rPr>
          <w:szCs w:val="24"/>
        </w:rPr>
        <w:t>on capital maintenance</w:t>
      </w:r>
      <w:r>
        <w:rPr>
          <w:szCs w:val="24"/>
        </w:rPr>
        <w:t xml:space="preserve"> projects that target the replacement of aged assets.</w:t>
      </w:r>
      <w:r w:rsidRPr="00966E23">
        <w:rPr>
          <w:szCs w:val="24"/>
        </w:rPr>
        <w:t xml:space="preserve"> Capital maintenance</w:t>
      </w:r>
      <w:r>
        <w:rPr>
          <w:szCs w:val="24"/>
        </w:rPr>
        <w:t xml:space="preserve"> spending</w:t>
      </w:r>
      <w:r w:rsidRPr="00966E23">
        <w:rPr>
          <w:szCs w:val="24"/>
        </w:rPr>
        <w:t xml:space="preserve"> accounted for 19% of the transmission budget in 2008 and 46% in 2018.</w:t>
      </w:r>
    </w:p>
    <w:p w14:paraId="16823133" w14:textId="77777777" w:rsidR="007E53A1" w:rsidRPr="00652073" w:rsidRDefault="007E53A1" w:rsidP="00582CD9">
      <w:pPr>
        <w:widowControl w:val="0"/>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HAVE CUSTOMERS BENEFITED FROM THE</w:t>
      </w:r>
      <w:r>
        <w:rPr>
          <w:rFonts w:eastAsia="Times New Roman"/>
          <w:b/>
          <w:lang w:eastAsia="en-US"/>
        </w:rPr>
        <w:t>SE</w:t>
      </w:r>
      <w:r w:rsidRPr="00652073">
        <w:rPr>
          <w:rFonts w:eastAsia="Times New Roman"/>
          <w:b/>
          <w:lang w:eastAsia="en-US"/>
        </w:rPr>
        <w:t xml:space="preserve"> </w:t>
      </w:r>
      <w:r>
        <w:rPr>
          <w:rFonts w:eastAsia="Times New Roman"/>
          <w:b/>
          <w:lang w:eastAsia="en-US"/>
        </w:rPr>
        <w:t xml:space="preserve">GRID </w:t>
      </w:r>
      <w:r w:rsidRPr="00652073">
        <w:rPr>
          <w:rFonts w:eastAsia="Times New Roman"/>
          <w:b/>
          <w:lang w:eastAsia="en-US"/>
        </w:rPr>
        <w:t xml:space="preserve">INVESTMENTS? </w:t>
      </w:r>
    </w:p>
    <w:p w14:paraId="1BA632A4" w14:textId="553378DD" w:rsidR="00F152C8" w:rsidRDefault="007E53A1" w:rsidP="00631829">
      <w:pPr>
        <w:pStyle w:val="hang"/>
        <w:spacing w:after="0"/>
        <w:contextualSpacing/>
        <w:rPr>
          <w:szCs w:val="24"/>
        </w:rPr>
      </w:pPr>
      <w:r w:rsidRPr="00652073">
        <w:rPr>
          <w:szCs w:val="24"/>
        </w:rPr>
        <w:t>A.</w:t>
      </w:r>
      <w:r w:rsidRPr="00652073">
        <w:rPr>
          <w:szCs w:val="24"/>
        </w:rPr>
        <w:tab/>
        <w:t>Yes.</w:t>
      </w:r>
      <w:r>
        <w:rPr>
          <w:szCs w:val="24"/>
        </w:rPr>
        <w:t xml:space="preserve">  These investments have allowed Georgia Power to provide customers with </w:t>
      </w:r>
      <w:r w:rsidR="00AA4CBD">
        <w:rPr>
          <w:szCs w:val="24"/>
        </w:rPr>
        <w:t xml:space="preserve">faster </w:t>
      </w:r>
      <w:r>
        <w:rPr>
          <w:szCs w:val="24"/>
        </w:rPr>
        <w:t xml:space="preserve">power restoration times, real-time access to </w:t>
      </w:r>
      <w:r w:rsidR="008001FB">
        <w:rPr>
          <w:szCs w:val="24"/>
        </w:rPr>
        <w:t xml:space="preserve">outage </w:t>
      </w:r>
      <w:r>
        <w:rPr>
          <w:szCs w:val="24"/>
        </w:rPr>
        <w:t xml:space="preserve">information, and innovative </w:t>
      </w:r>
      <w:r w:rsidR="00AB3660">
        <w:rPr>
          <w:szCs w:val="24"/>
        </w:rPr>
        <w:t xml:space="preserve">rate </w:t>
      </w:r>
      <w:r>
        <w:rPr>
          <w:szCs w:val="24"/>
        </w:rPr>
        <w:t>options—the Company</w:t>
      </w:r>
      <w:r w:rsidR="008001FB">
        <w:rPr>
          <w:szCs w:val="24"/>
        </w:rPr>
        <w:t xml:space="preserve"> and customers</w:t>
      </w:r>
      <w:r>
        <w:rPr>
          <w:szCs w:val="24"/>
        </w:rPr>
        <w:t xml:space="preserve"> now ha</w:t>
      </w:r>
      <w:r w:rsidR="008001FB">
        <w:rPr>
          <w:szCs w:val="24"/>
        </w:rPr>
        <w:t>ve</w:t>
      </w:r>
      <w:r>
        <w:rPr>
          <w:szCs w:val="24"/>
        </w:rPr>
        <w:t xml:space="preserve"> a more holistic view of the overall customer experience.</w:t>
      </w:r>
      <w:r w:rsidR="00631829">
        <w:rPr>
          <w:szCs w:val="24"/>
        </w:rPr>
        <w:tab/>
      </w:r>
      <w:r w:rsidR="00631829">
        <w:rPr>
          <w:szCs w:val="24"/>
        </w:rPr>
        <w:tab/>
      </w:r>
      <w:r w:rsidR="00631829">
        <w:rPr>
          <w:szCs w:val="24"/>
        </w:rPr>
        <w:tab/>
      </w:r>
      <w:r w:rsidR="00631829">
        <w:rPr>
          <w:szCs w:val="24"/>
        </w:rPr>
        <w:tab/>
      </w:r>
      <w:r w:rsidR="00631829">
        <w:rPr>
          <w:szCs w:val="24"/>
        </w:rPr>
        <w:tab/>
      </w:r>
      <w:r w:rsidR="00631829">
        <w:rPr>
          <w:szCs w:val="24"/>
        </w:rPr>
        <w:tab/>
      </w:r>
      <w:r w:rsidR="00631829">
        <w:rPr>
          <w:szCs w:val="24"/>
        </w:rPr>
        <w:tab/>
      </w:r>
      <w:r w:rsidR="00631829">
        <w:rPr>
          <w:szCs w:val="24"/>
        </w:rPr>
        <w:tab/>
      </w:r>
      <w:r w:rsidR="00631829">
        <w:rPr>
          <w:szCs w:val="24"/>
        </w:rPr>
        <w:tab/>
      </w:r>
      <w:r w:rsidR="00631829">
        <w:rPr>
          <w:szCs w:val="24"/>
        </w:rPr>
        <w:tab/>
      </w:r>
    </w:p>
    <w:p w14:paraId="51F1917F" w14:textId="77777777" w:rsidR="00631829" w:rsidRPr="00631829" w:rsidRDefault="00631829" w:rsidP="00623F66">
      <w:pPr>
        <w:numPr>
          <w:ilvl w:val="0"/>
          <w:numId w:val="3"/>
        </w:numPr>
        <w:spacing w:line="360" w:lineRule="auto"/>
        <w:contextualSpacing/>
        <w:jc w:val="both"/>
      </w:pPr>
      <w:r>
        <w:rPr>
          <w:u w:val="single"/>
        </w:rPr>
        <w:t>Intelligent devices</w:t>
      </w:r>
      <w:r>
        <w:t xml:space="preserve">: The SGIG project and subsequent investments have created a network of distribution devices that can be monitored and operated remotely to decrease outage restoration times. </w:t>
      </w:r>
      <w:r>
        <w:tab/>
      </w:r>
      <w:r>
        <w:tab/>
      </w:r>
      <w:r w:rsidR="00BB42D1">
        <w:tab/>
      </w:r>
      <w:r w:rsidR="00BB42D1">
        <w:tab/>
      </w:r>
      <w:r>
        <w:tab/>
      </w:r>
      <w:r>
        <w:tab/>
      </w:r>
      <w:r>
        <w:tab/>
      </w:r>
      <w:r>
        <w:tab/>
      </w:r>
      <w:r>
        <w:tab/>
      </w:r>
    </w:p>
    <w:p w14:paraId="3B679FC3" w14:textId="77777777" w:rsidR="007E53A1" w:rsidRDefault="00CA7902" w:rsidP="00623F66">
      <w:pPr>
        <w:numPr>
          <w:ilvl w:val="0"/>
          <w:numId w:val="3"/>
        </w:numPr>
        <w:spacing w:line="360" w:lineRule="auto"/>
        <w:contextualSpacing/>
        <w:jc w:val="both"/>
      </w:pPr>
      <w:r>
        <w:rPr>
          <w:u w:val="single"/>
        </w:rPr>
        <w:t>Faster</w:t>
      </w:r>
      <w:r w:rsidR="007E53A1" w:rsidRPr="00663379">
        <w:rPr>
          <w:u w:val="single"/>
        </w:rPr>
        <w:t xml:space="preserve"> </w:t>
      </w:r>
      <w:r w:rsidR="008001FB">
        <w:rPr>
          <w:u w:val="single"/>
        </w:rPr>
        <w:t>p</w:t>
      </w:r>
      <w:r w:rsidR="007E53A1" w:rsidRPr="00663379">
        <w:rPr>
          <w:u w:val="single"/>
        </w:rPr>
        <w:t xml:space="preserve">ower </w:t>
      </w:r>
      <w:r w:rsidR="008001FB">
        <w:rPr>
          <w:u w:val="single"/>
        </w:rPr>
        <w:t>r</w:t>
      </w:r>
      <w:r w:rsidR="007E53A1" w:rsidRPr="00663379">
        <w:rPr>
          <w:u w:val="single"/>
        </w:rPr>
        <w:t xml:space="preserve">estoration </w:t>
      </w:r>
      <w:r w:rsidR="008001FB">
        <w:rPr>
          <w:u w:val="single"/>
        </w:rPr>
        <w:t>t</w:t>
      </w:r>
      <w:r w:rsidR="007E53A1" w:rsidRPr="00663379">
        <w:rPr>
          <w:u w:val="single"/>
        </w:rPr>
        <w:t>imes</w:t>
      </w:r>
      <w:r w:rsidR="007E53A1">
        <w:t xml:space="preserve">: </w:t>
      </w:r>
      <w:r w:rsidR="007E53A1" w:rsidRPr="00663379">
        <w:t xml:space="preserve">AMI has allowed the Company to proactively respond to </w:t>
      </w:r>
      <w:r w:rsidR="00631829">
        <w:t xml:space="preserve">a </w:t>
      </w:r>
      <w:r w:rsidR="007E53A1" w:rsidRPr="00663379">
        <w:t>customer outage without a customer</w:t>
      </w:r>
      <w:r w:rsidR="00631829">
        <w:t xml:space="preserve"> having</w:t>
      </w:r>
      <w:r w:rsidR="007E53A1" w:rsidRPr="00663379">
        <w:t xml:space="preserve"> to report it.  </w:t>
      </w:r>
      <w:r w:rsidR="007E53A1">
        <w:tab/>
      </w:r>
      <w:r w:rsidR="00BB42D1">
        <w:tab/>
      </w:r>
      <w:r w:rsidR="007E53A1">
        <w:tab/>
      </w:r>
    </w:p>
    <w:p w14:paraId="1168C187" w14:textId="77777777" w:rsidR="007E53A1" w:rsidRDefault="007E53A1" w:rsidP="00623F66">
      <w:pPr>
        <w:numPr>
          <w:ilvl w:val="0"/>
          <w:numId w:val="3"/>
        </w:numPr>
        <w:spacing w:line="360" w:lineRule="auto"/>
        <w:contextualSpacing/>
        <w:jc w:val="both"/>
      </w:pPr>
      <w:r w:rsidRPr="00663379">
        <w:rPr>
          <w:u w:val="single"/>
        </w:rPr>
        <w:t>Real-</w:t>
      </w:r>
      <w:r w:rsidR="008001FB">
        <w:rPr>
          <w:u w:val="single"/>
        </w:rPr>
        <w:t>t</w:t>
      </w:r>
      <w:r w:rsidRPr="00663379">
        <w:rPr>
          <w:u w:val="single"/>
        </w:rPr>
        <w:t xml:space="preserve">ime </w:t>
      </w:r>
      <w:r w:rsidR="008001FB">
        <w:rPr>
          <w:u w:val="single"/>
        </w:rPr>
        <w:t>a</w:t>
      </w:r>
      <w:r w:rsidRPr="00663379">
        <w:rPr>
          <w:u w:val="single"/>
        </w:rPr>
        <w:t xml:space="preserve">ccess to </w:t>
      </w:r>
      <w:r w:rsidR="00631829">
        <w:rPr>
          <w:u w:val="single"/>
        </w:rPr>
        <w:t>outage</w:t>
      </w:r>
      <w:r w:rsidRPr="00663379">
        <w:rPr>
          <w:u w:val="single"/>
        </w:rPr>
        <w:t xml:space="preserve"> </w:t>
      </w:r>
      <w:r w:rsidR="008001FB">
        <w:rPr>
          <w:u w:val="single"/>
        </w:rPr>
        <w:t>i</w:t>
      </w:r>
      <w:r w:rsidRPr="00663379">
        <w:rPr>
          <w:u w:val="single"/>
        </w:rPr>
        <w:t>nformation</w:t>
      </w:r>
      <w:r>
        <w:t xml:space="preserve">: </w:t>
      </w:r>
      <w:r w:rsidRPr="00663379">
        <w:t>The Company’s integration of AMI devices and corresponding data into its outage management system has enabled enhanced services such as personalized outage communication along with a web and mobile-based outage communication map.</w:t>
      </w:r>
      <w:r>
        <w:tab/>
      </w:r>
      <w:r>
        <w:tab/>
      </w:r>
      <w:r>
        <w:tab/>
      </w:r>
      <w:r>
        <w:tab/>
      </w:r>
      <w:r>
        <w:tab/>
      </w:r>
      <w:r w:rsidR="00BB42D1">
        <w:tab/>
      </w:r>
    </w:p>
    <w:p w14:paraId="15340958" w14:textId="4F1D9494" w:rsidR="00770FF0" w:rsidRDefault="00273ADC" w:rsidP="009413F5">
      <w:pPr>
        <w:pStyle w:val="ListParagraph"/>
        <w:numPr>
          <w:ilvl w:val="0"/>
          <w:numId w:val="3"/>
        </w:numPr>
        <w:spacing w:line="360" w:lineRule="auto"/>
        <w:jc w:val="both"/>
      </w:pPr>
      <w:r w:rsidRPr="00F631D5">
        <w:rPr>
          <w:u w:val="single"/>
        </w:rPr>
        <w:t>Innovati</w:t>
      </w:r>
      <w:r>
        <w:rPr>
          <w:u w:val="single"/>
        </w:rPr>
        <w:t>ve</w:t>
      </w:r>
      <w:r w:rsidRPr="00F631D5">
        <w:rPr>
          <w:u w:val="single"/>
        </w:rPr>
        <w:t xml:space="preserve"> </w:t>
      </w:r>
      <w:r w:rsidR="00AB3660">
        <w:rPr>
          <w:u w:val="single"/>
        </w:rPr>
        <w:t xml:space="preserve">rate </w:t>
      </w:r>
      <w:r w:rsidR="008001FB">
        <w:rPr>
          <w:u w:val="single"/>
        </w:rPr>
        <w:t>o</w:t>
      </w:r>
      <w:r w:rsidR="007E53A1" w:rsidRPr="00F631D5">
        <w:rPr>
          <w:u w:val="single"/>
        </w:rPr>
        <w:t>ptions</w:t>
      </w:r>
      <w:r w:rsidR="007E53A1">
        <w:t xml:space="preserve">: </w:t>
      </w:r>
      <w:r w:rsidR="007E53A1" w:rsidRPr="00652073">
        <w:t>Through AMI-obtained data the Company provides innovative rate offerings</w:t>
      </w:r>
      <w:r w:rsidR="00631829">
        <w:t>.</w:t>
      </w:r>
      <w:r w:rsidR="00743B3E">
        <w:tab/>
      </w:r>
    </w:p>
    <w:p w14:paraId="59BA83E7" w14:textId="168A273E" w:rsidR="00B90F81" w:rsidRPr="00F21D00" w:rsidRDefault="00743B3E" w:rsidP="00770FF0">
      <w:pPr>
        <w:pStyle w:val="ListParagraph"/>
        <w:spacing w:line="360" w:lineRule="auto"/>
        <w:ind w:left="1440"/>
        <w:jc w:val="both"/>
      </w:pPr>
      <w:r>
        <w:tab/>
      </w:r>
      <w:r>
        <w:tab/>
      </w:r>
      <w:r>
        <w:tab/>
      </w:r>
      <w:r>
        <w:tab/>
      </w:r>
    </w:p>
    <w:p w14:paraId="7AC3759B" w14:textId="59D35128" w:rsidR="002C6DC9" w:rsidRPr="002C6DC9" w:rsidRDefault="007E53A1" w:rsidP="002C6DC9">
      <w:pPr>
        <w:pStyle w:val="hang"/>
        <w:spacing w:after="0"/>
        <w:ind w:firstLine="0"/>
        <w:contextualSpacing/>
        <w:rPr>
          <w:szCs w:val="24"/>
        </w:rPr>
      </w:pPr>
      <w:r>
        <w:rPr>
          <w:szCs w:val="24"/>
        </w:rPr>
        <w:t>Further</w:t>
      </w:r>
      <w:r w:rsidR="00D52743">
        <w:rPr>
          <w:szCs w:val="24"/>
        </w:rPr>
        <w:t>more</w:t>
      </w:r>
      <w:r>
        <w:rPr>
          <w:szCs w:val="24"/>
        </w:rPr>
        <w:t>,</w:t>
      </w:r>
      <w:r w:rsidRPr="00652073">
        <w:rPr>
          <w:szCs w:val="24"/>
        </w:rPr>
        <w:t xml:space="preserve"> </w:t>
      </w:r>
      <w:r>
        <w:rPr>
          <w:szCs w:val="24"/>
        </w:rPr>
        <w:t>s</w:t>
      </w:r>
      <w:r w:rsidRPr="00652073">
        <w:rPr>
          <w:szCs w:val="24"/>
        </w:rPr>
        <w:t>mart devices have facilitated the deployment of self-healing</w:t>
      </w:r>
      <w:r w:rsidR="00C8356E">
        <w:rPr>
          <w:szCs w:val="24"/>
        </w:rPr>
        <w:t xml:space="preserve"> distribution</w:t>
      </w:r>
      <w:r w:rsidRPr="00652073">
        <w:rPr>
          <w:szCs w:val="24"/>
        </w:rPr>
        <w:t xml:space="preserve"> networks</w:t>
      </w:r>
      <w:r w:rsidR="00031535">
        <w:rPr>
          <w:szCs w:val="24"/>
        </w:rPr>
        <w:t xml:space="preserve"> that</w:t>
      </w:r>
      <w:r w:rsidRPr="00652073">
        <w:rPr>
          <w:szCs w:val="24"/>
        </w:rPr>
        <w:t xml:space="preserve"> segment target feeders such that a single outage affects fewer customers.</w:t>
      </w:r>
      <w:r>
        <w:rPr>
          <w:szCs w:val="24"/>
        </w:rPr>
        <w:t xml:space="preserve">  </w:t>
      </w:r>
      <w:r w:rsidRPr="00652073">
        <w:rPr>
          <w:szCs w:val="24"/>
        </w:rPr>
        <w:t>As</w:t>
      </w:r>
      <w:r w:rsidR="002C6DC9">
        <w:rPr>
          <w:szCs w:val="24"/>
        </w:rPr>
        <w:br w:type="page"/>
      </w:r>
    </w:p>
    <w:p w14:paraId="63631174" w14:textId="74801293" w:rsidR="00F152C8" w:rsidRDefault="007E53A1" w:rsidP="008025A5">
      <w:pPr>
        <w:pStyle w:val="hang"/>
        <w:spacing w:after="0"/>
        <w:ind w:firstLine="0"/>
        <w:contextualSpacing/>
        <w:rPr>
          <w:szCs w:val="24"/>
        </w:rPr>
      </w:pPr>
      <w:r w:rsidRPr="00652073">
        <w:rPr>
          <w:szCs w:val="24"/>
        </w:rPr>
        <w:lastRenderedPageBreak/>
        <w:t>of January 1, 2019, 1.3</w:t>
      </w:r>
      <w:r w:rsidR="00FF1E72">
        <w:rPr>
          <w:szCs w:val="24"/>
        </w:rPr>
        <w:t> </w:t>
      </w:r>
      <w:r w:rsidRPr="00652073">
        <w:rPr>
          <w:szCs w:val="24"/>
        </w:rPr>
        <w:t xml:space="preserve">million Georgia Power customers are served by a self-healing </w:t>
      </w:r>
      <w:r w:rsidR="00B46900">
        <w:rPr>
          <w:szCs w:val="24"/>
        </w:rPr>
        <w:t xml:space="preserve">distribution </w:t>
      </w:r>
      <w:r w:rsidRPr="00652073">
        <w:rPr>
          <w:szCs w:val="24"/>
        </w:rPr>
        <w:t>network.</w:t>
      </w:r>
      <w:r>
        <w:rPr>
          <w:szCs w:val="24"/>
        </w:rPr>
        <w:t xml:space="preserve">  </w:t>
      </w:r>
    </w:p>
    <w:p w14:paraId="6AA1757E" w14:textId="77777777" w:rsidR="008025A5" w:rsidRPr="008025A5" w:rsidRDefault="008025A5" w:rsidP="008025A5">
      <w:pPr>
        <w:pStyle w:val="hang"/>
        <w:spacing w:after="0"/>
        <w:ind w:firstLine="0"/>
        <w:contextualSpacing/>
        <w:rPr>
          <w:szCs w:val="24"/>
        </w:rPr>
      </w:pPr>
    </w:p>
    <w:p w14:paraId="4F254142" w14:textId="31585541" w:rsidR="007E53A1" w:rsidRPr="00652073" w:rsidRDefault="007E53A1" w:rsidP="00FB6F63">
      <w:pPr>
        <w:widowControl w:val="0"/>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WHAT IS THE COMPANY’S </w:t>
      </w:r>
      <w:r w:rsidR="00055C39" w:rsidRPr="00652073">
        <w:rPr>
          <w:rFonts w:eastAsia="Times New Roman"/>
          <w:b/>
          <w:lang w:eastAsia="en-US"/>
        </w:rPr>
        <w:t>O</w:t>
      </w:r>
      <w:r w:rsidR="00055C39">
        <w:rPr>
          <w:rFonts w:eastAsia="Times New Roman"/>
          <w:b/>
          <w:lang w:eastAsia="en-US"/>
        </w:rPr>
        <w:t>BJECTIVE</w:t>
      </w:r>
      <w:r w:rsidR="00055C39" w:rsidRPr="00652073">
        <w:rPr>
          <w:rFonts w:eastAsia="Times New Roman"/>
          <w:b/>
          <w:lang w:eastAsia="en-US"/>
        </w:rPr>
        <w:t xml:space="preserve"> </w:t>
      </w:r>
      <w:r w:rsidR="00770FF0">
        <w:rPr>
          <w:rFonts w:eastAsia="Times New Roman"/>
          <w:b/>
          <w:lang w:eastAsia="en-US"/>
        </w:rPr>
        <w:t xml:space="preserve">IN </w:t>
      </w:r>
      <w:r w:rsidRPr="00652073">
        <w:rPr>
          <w:rFonts w:eastAsia="Times New Roman"/>
          <w:b/>
          <w:lang w:eastAsia="en-US"/>
        </w:rPr>
        <w:t xml:space="preserve">MANAGING THE </w:t>
      </w:r>
      <w:r w:rsidR="00745D8F">
        <w:rPr>
          <w:rFonts w:eastAsia="Times New Roman"/>
          <w:b/>
          <w:lang w:eastAsia="en-US"/>
        </w:rPr>
        <w:t>T&amp;D</w:t>
      </w:r>
      <w:r w:rsidRPr="00652073">
        <w:rPr>
          <w:rFonts w:eastAsia="Times New Roman"/>
          <w:b/>
          <w:lang w:eastAsia="en-US"/>
        </w:rPr>
        <w:t xml:space="preserve"> SYSTEM?</w:t>
      </w:r>
    </w:p>
    <w:p w14:paraId="63455CB0" w14:textId="77777777" w:rsidR="00F152C8" w:rsidRDefault="007E53A1">
      <w:pPr>
        <w:pStyle w:val="hang"/>
        <w:spacing w:after="0"/>
        <w:contextualSpacing/>
        <w:rPr>
          <w:szCs w:val="24"/>
        </w:rPr>
      </w:pPr>
      <w:r w:rsidRPr="00652073">
        <w:rPr>
          <w:szCs w:val="24"/>
        </w:rPr>
        <w:t>A.</w:t>
      </w:r>
      <w:r w:rsidRPr="00652073">
        <w:rPr>
          <w:szCs w:val="24"/>
        </w:rPr>
        <w:tab/>
      </w:r>
      <w:r w:rsidR="00055C39">
        <w:rPr>
          <w:szCs w:val="24"/>
        </w:rPr>
        <w:t xml:space="preserve">The Company’s core objective is to </w:t>
      </w:r>
      <w:r w:rsidRPr="00652073">
        <w:rPr>
          <w:szCs w:val="24"/>
        </w:rPr>
        <w:t xml:space="preserve">maintain a reliable, affordable, and safe transmission and distribution system for Georgia Power customers.  </w:t>
      </w:r>
    </w:p>
    <w:p w14:paraId="7701B25D" w14:textId="77777777" w:rsidR="009D5DBB" w:rsidRDefault="009D5DBB" w:rsidP="00AB48A0">
      <w:pPr>
        <w:pStyle w:val="hang"/>
        <w:spacing w:after="0"/>
        <w:contextualSpacing/>
        <w:rPr>
          <w:szCs w:val="24"/>
        </w:rPr>
      </w:pPr>
    </w:p>
    <w:p w14:paraId="17247F3E" w14:textId="77777777" w:rsidR="009D5DBB" w:rsidRPr="009D5DBB" w:rsidRDefault="009D5DBB" w:rsidP="00FB6F63">
      <w:pPr>
        <w:numPr>
          <w:ilvl w:val="1"/>
          <w:numId w:val="0"/>
        </w:numPr>
        <w:tabs>
          <w:tab w:val="num" w:pos="720"/>
        </w:tabs>
        <w:spacing w:line="360" w:lineRule="auto"/>
        <w:ind w:left="720" w:hanging="720"/>
        <w:contextualSpacing/>
        <w:jc w:val="both"/>
        <w:outlineLvl w:val="1"/>
        <w:rPr>
          <w:rFonts w:eastAsia="Times New Roman"/>
          <w:b/>
          <w:lang w:eastAsia="en-US"/>
        </w:rPr>
      </w:pPr>
      <w:r>
        <w:rPr>
          <w:rFonts w:eastAsia="Times New Roman"/>
          <w:b/>
          <w:lang w:eastAsia="en-US"/>
        </w:rPr>
        <w:t>Q.</w:t>
      </w:r>
      <w:r>
        <w:rPr>
          <w:rFonts w:eastAsia="Times New Roman"/>
          <w:b/>
          <w:lang w:eastAsia="en-US"/>
        </w:rPr>
        <w:tab/>
        <w:t xml:space="preserve">WHAT </w:t>
      </w:r>
      <w:r w:rsidR="004963A3">
        <w:rPr>
          <w:rFonts w:eastAsia="Times New Roman"/>
          <w:b/>
          <w:lang w:eastAsia="en-US"/>
        </w:rPr>
        <w:t xml:space="preserve">TRANSMISSION </w:t>
      </w:r>
      <w:r>
        <w:rPr>
          <w:rFonts w:eastAsia="Times New Roman"/>
          <w:b/>
          <w:lang w:eastAsia="en-US"/>
        </w:rPr>
        <w:t>PROJECTS ARE COVERED BY THE 10 YEAR TRANSMISSION PLAN FILED TRI-ANNUALLY WITH THE COMMISSION IN THE COMPANY’S IRP?</w:t>
      </w:r>
    </w:p>
    <w:p w14:paraId="6E321EE6" w14:textId="0D2617E8" w:rsidR="009D5DBB" w:rsidRDefault="009D5DBB" w:rsidP="009D5DBB">
      <w:pPr>
        <w:widowControl w:val="0"/>
        <w:numPr>
          <w:ilvl w:val="1"/>
          <w:numId w:val="0"/>
        </w:numPr>
        <w:tabs>
          <w:tab w:val="num" w:pos="720"/>
        </w:tabs>
        <w:spacing w:line="360" w:lineRule="auto"/>
        <w:ind w:left="720" w:hanging="720"/>
        <w:contextualSpacing/>
        <w:jc w:val="both"/>
        <w:outlineLvl w:val="1"/>
        <w:rPr>
          <w:rFonts w:eastAsia="Times New Roman"/>
          <w:lang w:eastAsia="en-US"/>
        </w:rPr>
      </w:pPr>
      <w:r w:rsidRPr="007857FF">
        <w:rPr>
          <w:rFonts w:eastAsia="Times New Roman"/>
          <w:lang w:eastAsia="en-US"/>
        </w:rPr>
        <w:t>A.</w:t>
      </w:r>
      <w:r>
        <w:rPr>
          <w:rFonts w:eastAsia="Times New Roman"/>
          <w:b/>
          <w:lang w:eastAsia="en-US"/>
        </w:rPr>
        <w:tab/>
      </w:r>
      <w:r w:rsidR="00BB42D1" w:rsidRPr="00BB42D1">
        <w:rPr>
          <w:rFonts w:eastAsia="Times New Roman"/>
          <w:lang w:eastAsia="en-US"/>
        </w:rPr>
        <w:t xml:space="preserve">The 10-year </w:t>
      </w:r>
      <w:r w:rsidR="00BB42D1">
        <w:rPr>
          <w:rFonts w:eastAsia="Times New Roman"/>
          <w:lang w:eastAsia="en-US"/>
        </w:rPr>
        <w:t>T</w:t>
      </w:r>
      <w:r w:rsidR="00BB42D1" w:rsidRPr="00BB42D1">
        <w:rPr>
          <w:rFonts w:eastAsia="Times New Roman"/>
          <w:lang w:eastAsia="en-US"/>
        </w:rPr>
        <w:t xml:space="preserve">ransmission </w:t>
      </w:r>
      <w:r w:rsidR="00BB42D1">
        <w:rPr>
          <w:rFonts w:eastAsia="Times New Roman"/>
          <w:lang w:eastAsia="en-US"/>
        </w:rPr>
        <w:t>P</w:t>
      </w:r>
      <w:r w:rsidR="00BB42D1" w:rsidRPr="00BB42D1">
        <w:rPr>
          <w:rFonts w:eastAsia="Times New Roman"/>
          <w:lang w:eastAsia="en-US"/>
        </w:rPr>
        <w:t xml:space="preserve">lan includes the future transmission facilities required to solve system inadequacies </w:t>
      </w:r>
      <w:r w:rsidR="0046193E">
        <w:rPr>
          <w:rFonts w:eastAsia="Times New Roman"/>
          <w:lang w:eastAsia="en-US"/>
        </w:rPr>
        <w:t>over</w:t>
      </w:r>
      <w:r w:rsidR="0046193E" w:rsidRPr="00BB42D1">
        <w:rPr>
          <w:rFonts w:eastAsia="Times New Roman"/>
          <w:lang w:eastAsia="en-US"/>
        </w:rPr>
        <w:t xml:space="preserve"> </w:t>
      </w:r>
      <w:r w:rsidR="00BB42D1" w:rsidRPr="00BB42D1">
        <w:rPr>
          <w:rFonts w:eastAsia="Times New Roman"/>
          <w:lang w:eastAsia="en-US"/>
        </w:rPr>
        <w:t>the next 10 years and is used</w:t>
      </w:r>
      <w:r w:rsidR="0020258F">
        <w:rPr>
          <w:rFonts w:eastAsia="Times New Roman"/>
          <w:lang w:eastAsia="en-US"/>
        </w:rPr>
        <w:t xml:space="preserve"> to</w:t>
      </w:r>
      <w:r w:rsidR="00BB42D1" w:rsidRPr="00BB42D1">
        <w:rPr>
          <w:rFonts w:eastAsia="Times New Roman"/>
          <w:lang w:eastAsia="en-US"/>
        </w:rPr>
        <w:t xml:space="preserve"> demonstrate that the system is capable of reliably supporting</w:t>
      </w:r>
      <w:r w:rsidR="0048360E">
        <w:rPr>
          <w:rFonts w:eastAsia="Times New Roman"/>
          <w:lang w:eastAsia="en-US"/>
        </w:rPr>
        <w:t xml:space="preserve"> changes in</w:t>
      </w:r>
      <w:r w:rsidR="00BB42D1" w:rsidRPr="00BB42D1">
        <w:rPr>
          <w:rFonts w:eastAsia="Times New Roman"/>
          <w:lang w:eastAsia="en-US"/>
        </w:rPr>
        <w:t xml:space="preserve"> loads and resources over the </w:t>
      </w:r>
      <w:r w:rsidR="000F1283">
        <w:rPr>
          <w:rFonts w:eastAsia="Times New Roman"/>
          <w:lang w:eastAsia="en-US"/>
        </w:rPr>
        <w:t>same period</w:t>
      </w:r>
      <w:r w:rsidR="00BB42D1" w:rsidRPr="00BB42D1">
        <w:rPr>
          <w:rFonts w:eastAsia="Times New Roman"/>
          <w:lang w:eastAsia="en-US"/>
        </w:rPr>
        <w:t>.  Th</w:t>
      </w:r>
      <w:r w:rsidR="004963A3">
        <w:rPr>
          <w:rFonts w:eastAsia="Times New Roman"/>
          <w:lang w:eastAsia="en-US"/>
        </w:rPr>
        <w:t>e</w:t>
      </w:r>
      <w:r w:rsidR="00BB42D1" w:rsidRPr="00BB42D1">
        <w:rPr>
          <w:rFonts w:eastAsia="Times New Roman"/>
          <w:lang w:eastAsia="en-US"/>
        </w:rPr>
        <w:t xml:space="preserve"> plan includes approximately </w:t>
      </w:r>
      <w:r w:rsidR="00E171BE">
        <w:rPr>
          <w:rFonts w:eastAsia="Times New Roman"/>
          <w:lang w:eastAsia="en-US"/>
        </w:rPr>
        <w:t>7</w:t>
      </w:r>
      <w:r w:rsidR="00BB42D1" w:rsidRPr="00BB42D1">
        <w:rPr>
          <w:rFonts w:eastAsia="Times New Roman"/>
          <w:lang w:eastAsia="en-US"/>
        </w:rPr>
        <w:t>% of the overall transmission planned budget expenditures annually</w:t>
      </w:r>
      <w:r w:rsidR="00BB42D1">
        <w:rPr>
          <w:rFonts w:eastAsia="Times New Roman"/>
          <w:lang w:eastAsia="en-US"/>
        </w:rPr>
        <w:t>.</w:t>
      </w:r>
    </w:p>
    <w:p w14:paraId="13D8524C" w14:textId="77777777" w:rsidR="009D5DBB" w:rsidRDefault="009D5DBB" w:rsidP="00AB48A0">
      <w:pPr>
        <w:pStyle w:val="hang"/>
        <w:spacing w:after="0"/>
        <w:contextualSpacing/>
        <w:rPr>
          <w:szCs w:val="24"/>
        </w:rPr>
      </w:pPr>
    </w:p>
    <w:p w14:paraId="6CD9E115" w14:textId="77777777" w:rsidR="009D5DBB" w:rsidRPr="009D5DBB" w:rsidRDefault="009D5DBB" w:rsidP="009D5DBB">
      <w:pPr>
        <w:widowControl w:val="0"/>
        <w:numPr>
          <w:ilvl w:val="1"/>
          <w:numId w:val="0"/>
        </w:numPr>
        <w:tabs>
          <w:tab w:val="num" w:pos="720"/>
        </w:tabs>
        <w:spacing w:line="360" w:lineRule="auto"/>
        <w:ind w:left="720" w:hanging="720"/>
        <w:contextualSpacing/>
        <w:jc w:val="both"/>
        <w:outlineLvl w:val="1"/>
        <w:rPr>
          <w:rFonts w:eastAsia="Times New Roman"/>
          <w:b/>
          <w:lang w:eastAsia="en-US"/>
        </w:rPr>
      </w:pPr>
      <w:r>
        <w:rPr>
          <w:rFonts w:eastAsia="Times New Roman"/>
          <w:b/>
          <w:lang w:eastAsia="en-US"/>
        </w:rPr>
        <w:t xml:space="preserve">Q. </w:t>
      </w:r>
      <w:r>
        <w:rPr>
          <w:rFonts w:eastAsia="Times New Roman"/>
          <w:b/>
          <w:lang w:eastAsia="en-US"/>
        </w:rPr>
        <w:tab/>
        <w:t xml:space="preserve">ARE THERE SPECIFIC PROJECTS RELATED TO THE 2019 IRP THAT YOU </w:t>
      </w:r>
      <w:r w:rsidR="00376921">
        <w:rPr>
          <w:rFonts w:eastAsia="Times New Roman"/>
          <w:b/>
          <w:lang w:eastAsia="en-US"/>
        </w:rPr>
        <w:t>ARE</w:t>
      </w:r>
      <w:r>
        <w:rPr>
          <w:rFonts w:eastAsia="Times New Roman"/>
          <w:b/>
          <w:lang w:eastAsia="en-US"/>
        </w:rPr>
        <w:t xml:space="preserve"> ADDRESS</w:t>
      </w:r>
      <w:r w:rsidR="00376921">
        <w:rPr>
          <w:rFonts w:eastAsia="Times New Roman"/>
          <w:b/>
          <w:lang w:eastAsia="en-US"/>
        </w:rPr>
        <w:t>ING</w:t>
      </w:r>
      <w:r>
        <w:rPr>
          <w:rFonts w:eastAsia="Times New Roman"/>
          <w:b/>
          <w:lang w:eastAsia="en-US"/>
        </w:rPr>
        <w:t xml:space="preserve"> IN THIS CASE?</w:t>
      </w:r>
    </w:p>
    <w:p w14:paraId="057D854D" w14:textId="468CA31D" w:rsidR="002C6DC9" w:rsidRDefault="00C970E8" w:rsidP="002C6DC9">
      <w:pPr>
        <w:widowControl w:val="0"/>
        <w:numPr>
          <w:ilvl w:val="1"/>
          <w:numId w:val="0"/>
        </w:numPr>
        <w:tabs>
          <w:tab w:val="num" w:pos="720"/>
        </w:tabs>
        <w:spacing w:line="360" w:lineRule="auto"/>
        <w:ind w:left="720" w:hanging="720"/>
        <w:contextualSpacing/>
        <w:jc w:val="both"/>
        <w:outlineLvl w:val="1"/>
        <w:rPr>
          <w:rFonts w:eastAsia="Times New Roman"/>
          <w:lang w:eastAsia="en-US"/>
        </w:rPr>
      </w:pPr>
      <w:r w:rsidRPr="00C970E8">
        <w:rPr>
          <w:rFonts w:eastAsia="Times New Roman"/>
          <w:lang w:eastAsia="en-US"/>
        </w:rPr>
        <w:t xml:space="preserve"> </w:t>
      </w:r>
      <w:r>
        <w:rPr>
          <w:rFonts w:eastAsia="Times New Roman"/>
          <w:lang w:eastAsia="en-US"/>
        </w:rPr>
        <w:t>A.</w:t>
      </w:r>
      <w:r>
        <w:rPr>
          <w:rFonts w:eastAsia="Times New Roman"/>
          <w:lang w:eastAsia="en-US"/>
        </w:rPr>
        <w:tab/>
        <w:t xml:space="preserve">Yes.  </w:t>
      </w:r>
      <w:r w:rsidRPr="009D5DBB">
        <w:rPr>
          <w:rFonts w:eastAsia="Times New Roman"/>
          <w:lang w:eastAsia="en-US"/>
        </w:rPr>
        <w:t xml:space="preserve">Commission Staff and the Company acknowledge that transmission issues </w:t>
      </w:r>
      <w:r>
        <w:rPr>
          <w:rFonts w:eastAsia="Times New Roman"/>
          <w:lang w:eastAsia="en-US"/>
        </w:rPr>
        <w:t xml:space="preserve">must be </w:t>
      </w:r>
      <w:r w:rsidRPr="009D5DBB">
        <w:rPr>
          <w:rFonts w:eastAsia="Times New Roman"/>
          <w:lang w:eastAsia="en-US"/>
        </w:rPr>
        <w:t>addressed</w:t>
      </w:r>
      <w:r>
        <w:rPr>
          <w:rFonts w:eastAsia="Times New Roman"/>
          <w:lang w:eastAsia="en-US"/>
        </w:rPr>
        <w:t xml:space="preserve"> to preserve the retirement option for Plant Bowen 1 and 2 and agree that this rate case is the appropriate forum for discussing potential transmission solutions. Importantly, to preserve the retirement option for future consideration, the Company must start taking steps towards construction and completion of the appropriate transmission solutions. As the Company refines transmission analyses along with potential solutions, the Company will consider all practical and economic solutions, including non-traditional transmission solutions, </w:t>
      </w:r>
      <w:r w:rsidR="0020258F">
        <w:rPr>
          <w:rFonts w:eastAsia="Times New Roman"/>
          <w:lang w:eastAsia="en-US"/>
        </w:rPr>
        <w:t xml:space="preserve">to address the constraints that will result should Bowen Units 1 and 2 be retired. </w:t>
      </w:r>
      <w:r w:rsidR="002C6DC9">
        <w:rPr>
          <w:rFonts w:eastAsia="Times New Roman"/>
          <w:lang w:eastAsia="en-US"/>
        </w:rPr>
        <w:br w:type="page"/>
      </w:r>
    </w:p>
    <w:p w14:paraId="3B6F90D9" w14:textId="3362A52A" w:rsidR="004963A3" w:rsidRDefault="004963A3" w:rsidP="00607B63">
      <w:pPr>
        <w:widowControl w:val="0"/>
        <w:numPr>
          <w:ilvl w:val="1"/>
          <w:numId w:val="0"/>
        </w:numPr>
        <w:tabs>
          <w:tab w:val="num" w:pos="720"/>
        </w:tabs>
        <w:spacing w:line="360" w:lineRule="auto"/>
        <w:ind w:left="720" w:hanging="720"/>
        <w:contextualSpacing/>
        <w:jc w:val="both"/>
        <w:outlineLvl w:val="1"/>
        <w:rPr>
          <w:rFonts w:eastAsia="Times New Roman"/>
          <w:lang w:eastAsia="en-US"/>
        </w:rPr>
      </w:pPr>
      <w:r w:rsidRPr="007857FF">
        <w:rPr>
          <w:rFonts w:eastAsia="Times New Roman"/>
          <w:b/>
          <w:lang w:eastAsia="en-US"/>
        </w:rPr>
        <w:lastRenderedPageBreak/>
        <w:t>Q.</w:t>
      </w:r>
      <w:r>
        <w:rPr>
          <w:rFonts w:eastAsia="Times New Roman"/>
          <w:lang w:eastAsia="en-US"/>
        </w:rPr>
        <w:tab/>
      </w:r>
      <w:r>
        <w:rPr>
          <w:rFonts w:eastAsia="Times New Roman"/>
          <w:b/>
          <w:lang w:eastAsia="en-US"/>
        </w:rPr>
        <w:t xml:space="preserve">WHAT OTHER </w:t>
      </w:r>
      <w:r w:rsidR="00745D8F">
        <w:rPr>
          <w:rFonts w:eastAsia="Times New Roman"/>
          <w:b/>
          <w:lang w:eastAsia="en-US"/>
        </w:rPr>
        <w:t>T&amp;D</w:t>
      </w:r>
      <w:r>
        <w:rPr>
          <w:rFonts w:eastAsia="Times New Roman"/>
          <w:b/>
          <w:lang w:eastAsia="en-US"/>
        </w:rPr>
        <w:t xml:space="preserve"> INVESTMENTS WILL YOU BE DISCUSSING IN YOUR TESTIMONY? </w:t>
      </w:r>
    </w:p>
    <w:p w14:paraId="42149F50" w14:textId="6619C48C" w:rsidR="004963A3" w:rsidRDefault="004963A3" w:rsidP="008C15DC">
      <w:pPr>
        <w:widowControl w:val="0"/>
        <w:numPr>
          <w:ilvl w:val="1"/>
          <w:numId w:val="0"/>
        </w:numPr>
        <w:tabs>
          <w:tab w:val="num" w:pos="720"/>
        </w:tabs>
        <w:spacing w:line="360" w:lineRule="auto"/>
        <w:ind w:left="720" w:hanging="720"/>
        <w:contextualSpacing/>
        <w:jc w:val="both"/>
        <w:outlineLvl w:val="1"/>
        <w:rPr>
          <w:rFonts w:eastAsia="Times New Roman"/>
          <w:lang w:eastAsia="en-US"/>
        </w:rPr>
      </w:pPr>
      <w:r>
        <w:rPr>
          <w:rFonts w:eastAsia="Times New Roman"/>
          <w:lang w:eastAsia="en-US"/>
        </w:rPr>
        <w:t>A.</w:t>
      </w:r>
      <w:r>
        <w:rPr>
          <w:rFonts w:eastAsia="Times New Roman"/>
          <w:lang w:eastAsia="en-US"/>
        </w:rPr>
        <w:tab/>
        <w:t xml:space="preserve">For the remainder of this Section we will be discussing the Company’s intention to make needed </w:t>
      </w:r>
      <w:r w:rsidR="00745D8F">
        <w:rPr>
          <w:rFonts w:eastAsia="Times New Roman"/>
          <w:lang w:eastAsia="en-US"/>
        </w:rPr>
        <w:t>T&amp;D</w:t>
      </w:r>
      <w:r>
        <w:rPr>
          <w:rFonts w:eastAsia="Times New Roman"/>
          <w:lang w:eastAsia="en-US"/>
        </w:rPr>
        <w:t xml:space="preserve"> investments through our grid investment plan.  Although not a major driver of revenue requirements in this rate case, the Company plans to invest an additional</w:t>
      </w:r>
      <w:r w:rsidR="000839C3">
        <w:rPr>
          <w:rFonts w:eastAsia="Times New Roman"/>
          <w:lang w:eastAsia="en-US"/>
        </w:rPr>
        <w:t xml:space="preserve"> approximately</w:t>
      </w:r>
      <w:r>
        <w:rPr>
          <w:rFonts w:eastAsia="Times New Roman"/>
          <w:lang w:eastAsia="en-US"/>
        </w:rPr>
        <w:t xml:space="preserve"> $7.5 billion over the next 12 years for T&amp;D.  In that regard, </w:t>
      </w:r>
      <w:r w:rsidR="00DD35C0">
        <w:rPr>
          <w:rFonts w:eastAsia="Times New Roman"/>
          <w:lang w:eastAsia="en-US"/>
        </w:rPr>
        <w:t xml:space="preserve">the grid investment plan is a multi-year effort that will benefit customers for years to come and will be important in future rate filings before this Commission.   </w:t>
      </w:r>
    </w:p>
    <w:p w14:paraId="2C3088AB" w14:textId="77777777" w:rsidR="007E53A1" w:rsidRPr="00652073" w:rsidRDefault="009D5DBB" w:rsidP="009B6905">
      <w:pPr>
        <w:widowControl w:val="0"/>
        <w:numPr>
          <w:ilvl w:val="1"/>
          <w:numId w:val="0"/>
        </w:numPr>
        <w:tabs>
          <w:tab w:val="num" w:pos="720"/>
        </w:tabs>
        <w:spacing w:line="360" w:lineRule="auto"/>
        <w:contextualSpacing/>
        <w:jc w:val="both"/>
        <w:outlineLvl w:val="1"/>
        <w:rPr>
          <w:b/>
        </w:rPr>
      </w:pPr>
      <w:r>
        <w:rPr>
          <w:rFonts w:eastAsia="Times New Roman"/>
          <w:lang w:eastAsia="en-US"/>
        </w:rPr>
        <w:tab/>
      </w:r>
    </w:p>
    <w:bookmarkEnd w:id="36"/>
    <w:p w14:paraId="5CF7E255" w14:textId="700B07BB" w:rsidR="007E53A1" w:rsidRPr="00652073" w:rsidRDefault="007E53A1" w:rsidP="00582CD9">
      <w:pPr>
        <w:widowControl w:val="0"/>
        <w:numPr>
          <w:ilvl w:val="2"/>
          <w:numId w:val="0"/>
        </w:numPr>
        <w:spacing w:line="360" w:lineRule="auto"/>
        <w:ind w:left="720" w:hanging="720"/>
        <w:contextualSpacing/>
        <w:jc w:val="both"/>
        <w:outlineLvl w:val="2"/>
        <w:rPr>
          <w:rFonts w:eastAsia="Times New Roman"/>
          <w:lang w:eastAsia="en-US"/>
        </w:rPr>
      </w:pPr>
      <w:r w:rsidRPr="00652073">
        <w:rPr>
          <w:rFonts w:eastAsia="Times New Roman"/>
          <w:b/>
          <w:lang w:eastAsia="en-US"/>
        </w:rPr>
        <w:t>Q.</w:t>
      </w:r>
      <w:r w:rsidRPr="00652073">
        <w:rPr>
          <w:rFonts w:eastAsia="Times New Roman"/>
          <w:b/>
          <w:lang w:eastAsia="en-US"/>
        </w:rPr>
        <w:tab/>
        <w:t xml:space="preserve">HOW DOES THE COMPANY CATEGORIZE INVESTMENTS IN </w:t>
      </w:r>
      <w:r w:rsidR="00C2103E">
        <w:rPr>
          <w:rFonts w:eastAsia="Times New Roman"/>
          <w:b/>
          <w:lang w:eastAsia="en-US"/>
        </w:rPr>
        <w:t xml:space="preserve">THE </w:t>
      </w:r>
      <w:r w:rsidR="00745D8F">
        <w:rPr>
          <w:rFonts w:eastAsia="Times New Roman"/>
          <w:b/>
          <w:lang w:eastAsia="en-US"/>
        </w:rPr>
        <w:t>T&amp;D</w:t>
      </w:r>
      <w:r w:rsidR="00C2103E">
        <w:rPr>
          <w:rFonts w:eastAsia="Times New Roman"/>
          <w:b/>
          <w:lang w:eastAsia="en-US"/>
        </w:rPr>
        <w:t xml:space="preserve"> SYSTEM</w:t>
      </w:r>
      <w:r w:rsidRPr="00652073">
        <w:rPr>
          <w:rFonts w:eastAsia="Times New Roman"/>
          <w:b/>
          <w:lang w:eastAsia="en-US"/>
        </w:rPr>
        <w:t>?</w:t>
      </w:r>
    </w:p>
    <w:p w14:paraId="2CB2CB65" w14:textId="77777777" w:rsidR="007E53A1" w:rsidRDefault="007E53A1" w:rsidP="00AB48A0">
      <w:pPr>
        <w:pStyle w:val="hang"/>
        <w:spacing w:after="0"/>
        <w:contextualSpacing/>
        <w:rPr>
          <w:szCs w:val="24"/>
        </w:rPr>
      </w:pPr>
      <w:r w:rsidRPr="00652073">
        <w:rPr>
          <w:szCs w:val="24"/>
        </w:rPr>
        <w:t>A.</w:t>
      </w:r>
      <w:r w:rsidRPr="00652073">
        <w:rPr>
          <w:szCs w:val="24"/>
        </w:rPr>
        <w:tab/>
        <w:t>Investments can be categorized into five distinct groups: (1) New Business;</w:t>
      </w:r>
      <w:r w:rsidR="00743B3E">
        <w:rPr>
          <w:szCs w:val="24"/>
        </w:rPr>
        <w:t xml:space="preserve"> </w:t>
      </w:r>
      <w:r w:rsidRPr="00652073">
        <w:rPr>
          <w:szCs w:val="24"/>
        </w:rPr>
        <w:t>(2)</w:t>
      </w:r>
      <w:r w:rsidR="00FF1E72">
        <w:rPr>
          <w:szCs w:val="24"/>
        </w:rPr>
        <w:t> </w:t>
      </w:r>
      <w:r w:rsidRPr="00652073">
        <w:rPr>
          <w:szCs w:val="24"/>
        </w:rPr>
        <w:t>Growth/Load Flow; (3) Commitments; (4) Reliability; and (5) Maintenance.</w:t>
      </w:r>
    </w:p>
    <w:p w14:paraId="6231A679" w14:textId="77777777" w:rsidR="00F152C8" w:rsidRPr="00652073" w:rsidRDefault="00F152C8" w:rsidP="00582CD9">
      <w:pPr>
        <w:pStyle w:val="hang"/>
        <w:spacing w:after="0"/>
        <w:contextualSpacing/>
        <w:rPr>
          <w:szCs w:val="24"/>
        </w:rPr>
      </w:pPr>
    </w:p>
    <w:p w14:paraId="25CC666C" w14:textId="77777777" w:rsidR="007E53A1" w:rsidRPr="00652073" w:rsidRDefault="007E53A1" w:rsidP="00582CD9">
      <w:pPr>
        <w:widowControl w:val="0"/>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r>
      <w:r w:rsidRPr="00582CD9">
        <w:rPr>
          <w:rFonts w:eastAsia="Times New Roman"/>
          <w:b/>
          <w:lang w:eastAsia="en-US"/>
        </w:rPr>
        <w:t>PLEASE</w:t>
      </w:r>
      <w:r w:rsidRPr="00652073">
        <w:rPr>
          <w:rFonts w:eastAsia="Times New Roman"/>
          <w:b/>
          <w:lang w:eastAsia="en-US"/>
        </w:rPr>
        <w:t xml:space="preserve"> PROVIDE A BRIEF DESCRIPTION OF EACH</w:t>
      </w:r>
      <w:r w:rsidR="000839C3">
        <w:rPr>
          <w:rFonts w:eastAsia="Times New Roman"/>
          <w:b/>
          <w:lang w:eastAsia="en-US"/>
        </w:rPr>
        <w:t xml:space="preserve"> CAPITAL</w:t>
      </w:r>
      <w:r w:rsidRPr="00652073">
        <w:rPr>
          <w:rFonts w:eastAsia="Times New Roman"/>
          <w:b/>
          <w:lang w:eastAsia="en-US"/>
        </w:rPr>
        <w:t xml:space="preserve"> INVESTMENT CATEGORY.  </w:t>
      </w:r>
    </w:p>
    <w:p w14:paraId="2D81F761" w14:textId="0747DBBD" w:rsidR="00C2103E" w:rsidRDefault="007E53A1" w:rsidP="000C6293">
      <w:pPr>
        <w:pStyle w:val="hang"/>
        <w:spacing w:after="0"/>
        <w:contextualSpacing/>
        <w:rPr>
          <w:szCs w:val="24"/>
        </w:rPr>
      </w:pPr>
      <w:r w:rsidRPr="00652073">
        <w:rPr>
          <w:szCs w:val="24"/>
        </w:rPr>
        <w:t>A.</w:t>
      </w:r>
      <w:r w:rsidRPr="00652073">
        <w:rPr>
          <w:szCs w:val="24"/>
        </w:rPr>
        <w:tab/>
      </w:r>
      <w:r w:rsidR="00364E86" w:rsidRPr="0020258F">
        <w:rPr>
          <w:bCs/>
          <w:szCs w:val="24"/>
        </w:rPr>
        <w:t>New Business</w:t>
      </w:r>
      <w:r w:rsidR="00364E86" w:rsidRPr="00CD29A4">
        <w:rPr>
          <w:szCs w:val="24"/>
        </w:rPr>
        <w:t> includes </w:t>
      </w:r>
      <w:r w:rsidR="00364E86">
        <w:rPr>
          <w:szCs w:val="24"/>
        </w:rPr>
        <w:t>expenditures</w:t>
      </w:r>
      <w:r w:rsidR="00364E86" w:rsidRPr="00CD29A4">
        <w:rPr>
          <w:szCs w:val="24"/>
        </w:rPr>
        <w:t xml:space="preserve"> used to purchase and install new facilities or upgrade existing facilities required to serve new customers and new load.</w:t>
      </w:r>
      <w:r w:rsidR="00364E86">
        <w:rPr>
          <w:szCs w:val="24"/>
        </w:rPr>
        <w:t xml:space="preserve">  </w:t>
      </w:r>
      <w:r w:rsidR="00364E86" w:rsidRPr="0020258F">
        <w:rPr>
          <w:bCs/>
          <w:szCs w:val="24"/>
        </w:rPr>
        <w:t>Growth/Load</w:t>
      </w:r>
      <w:r w:rsidR="00364E86" w:rsidRPr="00CD29A4">
        <w:rPr>
          <w:b/>
          <w:bCs/>
          <w:szCs w:val="24"/>
        </w:rPr>
        <w:t xml:space="preserve"> </w:t>
      </w:r>
      <w:r w:rsidR="00364E86" w:rsidRPr="0020258F">
        <w:rPr>
          <w:bCs/>
          <w:szCs w:val="24"/>
        </w:rPr>
        <w:t>Flow</w:t>
      </w:r>
      <w:r w:rsidR="00364E86" w:rsidRPr="00CD29A4">
        <w:rPr>
          <w:szCs w:val="24"/>
        </w:rPr>
        <w:t> includes </w:t>
      </w:r>
      <w:r w:rsidR="00364E86">
        <w:rPr>
          <w:szCs w:val="24"/>
        </w:rPr>
        <w:t xml:space="preserve">expenditures </w:t>
      </w:r>
      <w:r w:rsidR="00364E86" w:rsidRPr="00CD29A4">
        <w:rPr>
          <w:szCs w:val="24"/>
        </w:rPr>
        <w:t>used to meet the demand and need for increasing capacity due to customer growth and changing generation resources.  This could include new distribution feeders, transmission lines and substations, and land that will be used for future substations and transmission lines.</w:t>
      </w:r>
      <w:r w:rsidR="00364E86">
        <w:rPr>
          <w:szCs w:val="24"/>
        </w:rPr>
        <w:t xml:space="preserve">  </w:t>
      </w:r>
      <w:r w:rsidR="00364E86" w:rsidRPr="0020258F">
        <w:rPr>
          <w:bCs/>
          <w:szCs w:val="24"/>
        </w:rPr>
        <w:t>Commitments</w:t>
      </w:r>
      <w:r w:rsidR="00364E86" w:rsidRPr="00CD29A4">
        <w:rPr>
          <w:szCs w:val="24"/>
        </w:rPr>
        <w:t> includes </w:t>
      </w:r>
      <w:r w:rsidR="00364E86">
        <w:rPr>
          <w:szCs w:val="24"/>
        </w:rPr>
        <w:t>expenditures</w:t>
      </w:r>
      <w:r w:rsidR="00364E86" w:rsidRPr="00CD29A4">
        <w:rPr>
          <w:szCs w:val="24"/>
        </w:rPr>
        <w:t xml:space="preserve"> used to fund projects that are required, i.e. DOT relocations.</w:t>
      </w:r>
      <w:r w:rsidR="00364E86">
        <w:rPr>
          <w:szCs w:val="24"/>
        </w:rPr>
        <w:t xml:space="preserve">  </w:t>
      </w:r>
      <w:r w:rsidR="00364E86" w:rsidRPr="0020258F">
        <w:rPr>
          <w:bCs/>
          <w:szCs w:val="24"/>
        </w:rPr>
        <w:t>Reliability</w:t>
      </w:r>
      <w:r w:rsidR="00364E86" w:rsidRPr="00CD29A4">
        <w:rPr>
          <w:szCs w:val="24"/>
        </w:rPr>
        <w:t> includes substation relay modifications, replacing obsolete equipment, insulation and grounding improvements,</w:t>
      </w:r>
      <w:r w:rsidR="00364E86">
        <w:rPr>
          <w:szCs w:val="24"/>
        </w:rPr>
        <w:t xml:space="preserve"> </w:t>
      </w:r>
      <w:r w:rsidR="00364E86" w:rsidRPr="00CD29A4">
        <w:rPr>
          <w:szCs w:val="24"/>
        </w:rPr>
        <w:t>and grid modernization.  Finally, </w:t>
      </w:r>
      <w:r w:rsidR="00364E86" w:rsidRPr="0020258F">
        <w:rPr>
          <w:bCs/>
          <w:szCs w:val="24"/>
        </w:rPr>
        <w:t>Capital Maintenance</w:t>
      </w:r>
      <w:r w:rsidR="00364E86" w:rsidRPr="00CD29A4">
        <w:rPr>
          <w:szCs w:val="24"/>
        </w:rPr>
        <w:t> includes </w:t>
      </w:r>
      <w:r w:rsidR="00364E86">
        <w:rPr>
          <w:szCs w:val="24"/>
        </w:rPr>
        <w:t>expenditures</w:t>
      </w:r>
      <w:r w:rsidR="00364E86" w:rsidRPr="00CD29A4">
        <w:rPr>
          <w:szCs w:val="24"/>
        </w:rPr>
        <w:t xml:space="preserve"> dedicated to replacing broken poles, replac</w:t>
      </w:r>
      <w:r w:rsidR="00273ADC">
        <w:rPr>
          <w:szCs w:val="24"/>
        </w:rPr>
        <w:t>ing</w:t>
      </w:r>
      <w:r w:rsidR="00364E86" w:rsidRPr="00CD29A4">
        <w:rPr>
          <w:szCs w:val="24"/>
        </w:rPr>
        <w:t xml:space="preserve"> deteriorated conductor</w:t>
      </w:r>
      <w:r w:rsidR="00364E86">
        <w:rPr>
          <w:szCs w:val="24"/>
        </w:rPr>
        <w:t>s with an equivalent conductor</w:t>
      </w:r>
      <w:r w:rsidR="00364E86" w:rsidRPr="00CD29A4">
        <w:rPr>
          <w:szCs w:val="24"/>
        </w:rPr>
        <w:t>, and replac</w:t>
      </w:r>
      <w:r w:rsidR="00273ADC">
        <w:rPr>
          <w:szCs w:val="24"/>
        </w:rPr>
        <w:t>ing</w:t>
      </w:r>
      <w:r w:rsidR="00364E86" w:rsidRPr="00CD29A4">
        <w:rPr>
          <w:szCs w:val="24"/>
        </w:rPr>
        <w:t xml:space="preserve"> damaged or failed transformers and other equipment.  This category also includes cycle-based asset replacement programs that</w:t>
      </w:r>
      <w:r w:rsidR="00F97A8B">
        <w:rPr>
          <w:szCs w:val="24"/>
        </w:rPr>
        <w:t xml:space="preserve"> replace decaying</w:t>
      </w:r>
      <w:r w:rsidR="003C1D1B">
        <w:rPr>
          <w:szCs w:val="24"/>
        </w:rPr>
        <w:t xml:space="preserve"> </w:t>
      </w:r>
      <w:r w:rsidR="00F97A8B">
        <w:rPr>
          <w:szCs w:val="24"/>
        </w:rPr>
        <w:t>poles,</w:t>
      </w:r>
      <w:r w:rsidR="004B588B">
        <w:rPr>
          <w:szCs w:val="24"/>
        </w:rPr>
        <w:t xml:space="preserve"> </w:t>
      </w:r>
      <w:r w:rsidR="00F97A8B">
        <w:rPr>
          <w:szCs w:val="24"/>
        </w:rPr>
        <w:t xml:space="preserve">transformers, reclosers and substation breakers. </w:t>
      </w:r>
    </w:p>
    <w:p w14:paraId="7BD5BA0A" w14:textId="77777777" w:rsidR="00C2103E" w:rsidRPr="006C2603" w:rsidRDefault="00C2103E" w:rsidP="00C2103E">
      <w:pPr>
        <w:widowControl w:val="0"/>
        <w:numPr>
          <w:ilvl w:val="1"/>
          <w:numId w:val="0"/>
        </w:numPr>
        <w:tabs>
          <w:tab w:val="num" w:pos="720"/>
        </w:tabs>
        <w:spacing w:line="360" w:lineRule="auto"/>
        <w:ind w:left="720" w:hanging="720"/>
        <w:contextualSpacing/>
        <w:jc w:val="both"/>
        <w:outlineLvl w:val="1"/>
        <w:rPr>
          <w:rFonts w:eastAsia="MS Mincho"/>
          <w:b/>
          <w:lang w:eastAsia="en-US"/>
        </w:rPr>
      </w:pPr>
      <w:r w:rsidRPr="007E7401">
        <w:rPr>
          <w:rFonts w:eastAsia="Times New Roman"/>
          <w:b/>
          <w:lang w:eastAsia="en-US"/>
        </w:rPr>
        <w:lastRenderedPageBreak/>
        <w:t>Q.</w:t>
      </w:r>
      <w:r w:rsidRPr="006C2603">
        <w:rPr>
          <w:rFonts w:eastAsia="Times New Roman"/>
          <w:lang w:eastAsia="en-US"/>
        </w:rPr>
        <w:tab/>
      </w:r>
      <w:r w:rsidRPr="006C2603">
        <w:rPr>
          <w:rFonts w:eastAsia="Times New Roman"/>
          <w:b/>
          <w:lang w:eastAsia="en-US"/>
        </w:rPr>
        <w:t xml:space="preserve">HOW DOES THE COMPANY PRIORITIZE NEEDED INVESTMENTS TO THE T&amp;D SYSTEM? </w:t>
      </w:r>
    </w:p>
    <w:p w14:paraId="514F015A" w14:textId="19525D56" w:rsidR="008F7AFC" w:rsidRPr="008A10EC" w:rsidRDefault="00C2103E" w:rsidP="00C2103E">
      <w:pPr>
        <w:pStyle w:val="hang"/>
        <w:contextualSpacing/>
        <w:rPr>
          <w:rFonts w:eastAsia="MS Mincho"/>
          <w:szCs w:val="24"/>
          <w:highlight w:val="yellow"/>
        </w:rPr>
      </w:pPr>
      <w:r w:rsidRPr="006C2603">
        <w:rPr>
          <w:szCs w:val="24"/>
        </w:rPr>
        <w:t>A.</w:t>
      </w:r>
      <w:r w:rsidRPr="006C2603">
        <w:rPr>
          <w:szCs w:val="24"/>
        </w:rPr>
        <w:tab/>
      </w:r>
      <w:r w:rsidRPr="006C2603">
        <w:t>The Company reviews several factors when prioritizing investments.  Among these are assessments from planning</w:t>
      </w:r>
      <w:r w:rsidR="003461BE">
        <w:t>,</w:t>
      </w:r>
      <w:r w:rsidR="0048360E">
        <w:t xml:space="preserve"> operations</w:t>
      </w:r>
      <w:r w:rsidRPr="006C2603">
        <w:t>, review of risks to system reliability and service, and economic prudency.  To the extent possible, while responding to new business</w:t>
      </w:r>
      <w:r w:rsidR="00607B63">
        <w:t>, growth and load flow,</w:t>
      </w:r>
      <w:r w:rsidRPr="006C2603">
        <w:t xml:space="preserve"> and ongoing commitments, the Company identifies system areas where improvement and maintenance spending is warranted.  </w:t>
      </w:r>
    </w:p>
    <w:p w14:paraId="5EF3ACF0" w14:textId="77777777" w:rsidR="00F152C8" w:rsidRDefault="00F152C8" w:rsidP="0021474E">
      <w:pPr>
        <w:pStyle w:val="hang"/>
        <w:contextualSpacing/>
        <w:rPr>
          <w:b/>
        </w:rPr>
      </w:pPr>
    </w:p>
    <w:p w14:paraId="453E6BD2" w14:textId="77777777" w:rsidR="007E53A1" w:rsidRPr="00652073" w:rsidRDefault="007E53A1" w:rsidP="00582CD9">
      <w:pPr>
        <w:pStyle w:val="hang"/>
        <w:contextualSpacing/>
        <w:rPr>
          <w:rFonts w:eastAsia="MS Mincho"/>
          <w:b/>
        </w:rPr>
      </w:pPr>
      <w:r w:rsidRPr="00652073">
        <w:rPr>
          <w:b/>
        </w:rPr>
        <w:t>Q.</w:t>
      </w:r>
      <w:r w:rsidRPr="00652073">
        <w:rPr>
          <w:b/>
        </w:rPr>
        <w:tab/>
        <w:t>W</w:t>
      </w:r>
      <w:r>
        <w:rPr>
          <w:b/>
        </w:rPr>
        <w:t>ILL THE COMPANY BE INCREASING COSTS IN ANY OF THE INVESTMENT CATEGORIES IDENTIFIED ABOVE?</w:t>
      </w:r>
    </w:p>
    <w:p w14:paraId="06BB4211" w14:textId="77777777" w:rsidR="007E53A1" w:rsidRDefault="007E53A1" w:rsidP="000C6293">
      <w:pPr>
        <w:pStyle w:val="hang"/>
        <w:spacing w:after="0"/>
        <w:contextualSpacing/>
        <w:rPr>
          <w:szCs w:val="24"/>
        </w:rPr>
      </w:pPr>
      <w:r w:rsidRPr="00652073">
        <w:rPr>
          <w:szCs w:val="24"/>
        </w:rPr>
        <w:t>A.</w:t>
      </w:r>
      <w:r w:rsidRPr="00652073">
        <w:rPr>
          <w:szCs w:val="24"/>
        </w:rPr>
        <w:tab/>
      </w:r>
      <w:r w:rsidR="00787769" w:rsidRPr="00787769">
        <w:rPr>
          <w:szCs w:val="24"/>
        </w:rPr>
        <w:t>As part of the grid investment plan, the Company will make a series of invest</w:t>
      </w:r>
      <w:r w:rsidR="00787769">
        <w:rPr>
          <w:szCs w:val="24"/>
        </w:rPr>
        <w:t>ments</w:t>
      </w:r>
      <w:r w:rsidR="00787769" w:rsidRPr="00787769">
        <w:rPr>
          <w:szCs w:val="24"/>
        </w:rPr>
        <w:t xml:space="preserve"> in T&amp;D projects over a 12-year period.  For transmission, the Company will strategically increase expenditures primarily in the Capital Maintenance category.  For distribution, the Company will strategically increase expenditures primarily in the Reliability category.  The Company will invest approximately </w:t>
      </w:r>
      <w:r w:rsidR="00B030DB">
        <w:rPr>
          <w:szCs w:val="24"/>
        </w:rPr>
        <w:t>$</w:t>
      </w:r>
      <w:r w:rsidR="00787769" w:rsidRPr="00787769">
        <w:rPr>
          <w:szCs w:val="24"/>
        </w:rPr>
        <w:t>1.</w:t>
      </w:r>
      <w:r w:rsidR="00DB4D5B">
        <w:rPr>
          <w:szCs w:val="24"/>
        </w:rPr>
        <w:t>3</w:t>
      </w:r>
      <w:r w:rsidR="00B030DB">
        <w:rPr>
          <w:szCs w:val="24"/>
        </w:rPr>
        <w:t xml:space="preserve"> billion</w:t>
      </w:r>
      <w:r w:rsidR="00787769" w:rsidRPr="00787769">
        <w:rPr>
          <w:szCs w:val="24"/>
        </w:rPr>
        <w:t xml:space="preserve"> </w:t>
      </w:r>
      <w:r w:rsidR="00B030DB">
        <w:rPr>
          <w:szCs w:val="24"/>
        </w:rPr>
        <w:t>in the</w:t>
      </w:r>
      <w:r w:rsidR="00787769" w:rsidRPr="00787769">
        <w:rPr>
          <w:szCs w:val="24"/>
        </w:rPr>
        <w:t xml:space="preserve"> first </w:t>
      </w:r>
      <w:r w:rsidR="00B030DB">
        <w:rPr>
          <w:szCs w:val="24"/>
        </w:rPr>
        <w:t>three</w:t>
      </w:r>
      <w:r w:rsidR="00787769" w:rsidRPr="00787769">
        <w:rPr>
          <w:szCs w:val="24"/>
        </w:rPr>
        <w:t xml:space="preserve"> years</w:t>
      </w:r>
      <w:r w:rsidR="00A66752">
        <w:rPr>
          <w:szCs w:val="24"/>
        </w:rPr>
        <w:t>.</w:t>
      </w:r>
      <w:r w:rsidR="00787769" w:rsidRPr="00787769">
        <w:rPr>
          <w:szCs w:val="24"/>
        </w:rPr>
        <w:t xml:space="preserve">  Exhibit___(DPP/SPA/MBR-</w:t>
      </w:r>
      <w:r w:rsidR="006C4B87">
        <w:rPr>
          <w:szCs w:val="24"/>
        </w:rPr>
        <w:t>7</w:t>
      </w:r>
      <w:r w:rsidR="00787769" w:rsidRPr="00787769">
        <w:rPr>
          <w:szCs w:val="24"/>
        </w:rPr>
        <w:t>) and Exhibit</w:t>
      </w:r>
      <w:r w:rsidR="006C4B87">
        <w:rPr>
          <w:szCs w:val="24"/>
        </w:rPr>
        <w:t>___</w:t>
      </w:r>
      <w:r w:rsidR="00787769" w:rsidRPr="00787769">
        <w:rPr>
          <w:szCs w:val="24"/>
        </w:rPr>
        <w:t>(DPP/SPA/MBR-</w:t>
      </w:r>
      <w:r w:rsidR="006C4B87">
        <w:rPr>
          <w:szCs w:val="24"/>
        </w:rPr>
        <w:t>8</w:t>
      </w:r>
      <w:r w:rsidR="00787769" w:rsidRPr="00787769">
        <w:rPr>
          <w:szCs w:val="24"/>
        </w:rPr>
        <w:t>) contain more details regarding these investments.</w:t>
      </w:r>
      <w:r w:rsidR="00787769">
        <w:rPr>
          <w:szCs w:val="24"/>
        </w:rPr>
        <w:t xml:space="preserve"> </w:t>
      </w:r>
    </w:p>
    <w:p w14:paraId="58E2336E" w14:textId="77777777" w:rsidR="000C6293" w:rsidRPr="00652073" w:rsidRDefault="000C6293" w:rsidP="00C23928">
      <w:pPr>
        <w:pStyle w:val="hang"/>
        <w:spacing w:after="0"/>
        <w:contextualSpacing/>
        <w:rPr>
          <w:rFonts w:eastAsia="MS Mincho"/>
          <w:szCs w:val="24"/>
        </w:rPr>
      </w:pPr>
    </w:p>
    <w:p w14:paraId="78DBF812" w14:textId="77777777" w:rsidR="007E53A1" w:rsidRPr="00652073" w:rsidRDefault="007E53A1" w:rsidP="00582CD9">
      <w:pPr>
        <w:widowControl w:val="0"/>
        <w:numPr>
          <w:ilvl w:val="1"/>
          <w:numId w:val="0"/>
        </w:numPr>
        <w:tabs>
          <w:tab w:val="num" w:pos="720"/>
        </w:tabs>
        <w:spacing w:line="360" w:lineRule="auto"/>
        <w:ind w:left="720" w:hanging="720"/>
        <w:contextualSpacing/>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HAS THE COMPANY HAD TO MODIFY ITS APPROACH TO ADDRESSING MAINTENANCE AND RELIABILITY INVESTMENTS?  </w:t>
      </w:r>
      <w:r w:rsidRPr="00652073">
        <w:rPr>
          <w:rFonts w:eastAsia="MS Mincho"/>
          <w:b/>
          <w:lang w:eastAsia="en-US"/>
        </w:rPr>
        <w:tab/>
      </w:r>
    </w:p>
    <w:p w14:paraId="1B03C587" w14:textId="2EC4994E" w:rsidR="002C6DC9" w:rsidRPr="002C6DC9" w:rsidRDefault="007E53A1" w:rsidP="002C6DC9">
      <w:pPr>
        <w:pStyle w:val="hang"/>
        <w:spacing w:after="0"/>
        <w:contextualSpacing/>
        <w:rPr>
          <w:szCs w:val="24"/>
        </w:rPr>
      </w:pPr>
      <w:r w:rsidRPr="00652073">
        <w:rPr>
          <w:szCs w:val="24"/>
        </w:rPr>
        <w:t>A.</w:t>
      </w:r>
      <w:r w:rsidRPr="00652073">
        <w:rPr>
          <w:szCs w:val="24"/>
        </w:rPr>
        <w:tab/>
      </w:r>
      <w:r w:rsidR="00AB5B13" w:rsidRPr="0030364B">
        <w:rPr>
          <w:szCs w:val="24"/>
        </w:rPr>
        <w:t>Yes.</w:t>
      </w:r>
      <w:r w:rsidR="00AB5B13">
        <w:rPr>
          <w:szCs w:val="24"/>
        </w:rPr>
        <w:t xml:space="preserve">  </w:t>
      </w:r>
      <w:r w:rsidR="00AB5B13" w:rsidRPr="0030364B">
        <w:rPr>
          <w:szCs w:val="24"/>
        </w:rPr>
        <w:t xml:space="preserve">Through 2009, the Company was able to address </w:t>
      </w:r>
      <w:r w:rsidR="00AB5B13">
        <w:rPr>
          <w:szCs w:val="24"/>
        </w:rPr>
        <w:t xml:space="preserve">many </w:t>
      </w:r>
      <w:r w:rsidR="00AB5B13" w:rsidRPr="0030364B">
        <w:rPr>
          <w:szCs w:val="24"/>
        </w:rPr>
        <w:t xml:space="preserve">Capital Maintenance and Reliability issues through load growth projects.  As load growth has slowed on the transmission system, the Company has </w:t>
      </w:r>
      <w:r w:rsidR="00AB5B13">
        <w:rPr>
          <w:szCs w:val="24"/>
        </w:rPr>
        <w:t>developed</w:t>
      </w:r>
      <w:r w:rsidR="00AB5B13" w:rsidRPr="0030364B">
        <w:rPr>
          <w:szCs w:val="24"/>
        </w:rPr>
        <w:t xml:space="preserve"> a </w:t>
      </w:r>
      <w:r w:rsidR="00AB5B13">
        <w:rPr>
          <w:szCs w:val="24"/>
        </w:rPr>
        <w:t xml:space="preserve">long range, </w:t>
      </w:r>
      <w:r w:rsidR="00AB5B13" w:rsidRPr="0030364B">
        <w:rPr>
          <w:szCs w:val="24"/>
        </w:rPr>
        <w:t>proactive approach to address aging assets on the transmission system.  The Company continues to address underperforming feeders on the distribution system with a greater emphasis on ensuring that all customer</w:t>
      </w:r>
      <w:r w:rsidR="00AB5B13">
        <w:rPr>
          <w:szCs w:val="24"/>
        </w:rPr>
        <w:t>s</w:t>
      </w:r>
      <w:r w:rsidR="00AB5B13" w:rsidRPr="0030364B">
        <w:rPr>
          <w:szCs w:val="24"/>
        </w:rPr>
        <w:t xml:space="preserve"> receive a similar level of reliable service.  Through this approach, the Company will reduce the risk of aging infrastructure and improve the overall customer experience</w:t>
      </w:r>
      <w:r w:rsidR="00AB5B13">
        <w:rPr>
          <w:szCs w:val="24"/>
        </w:rPr>
        <w:t>.</w:t>
      </w:r>
      <w:r w:rsidR="002C6DC9">
        <w:rPr>
          <w:szCs w:val="24"/>
        </w:rPr>
        <w:br w:type="page"/>
      </w:r>
    </w:p>
    <w:p w14:paraId="1689D32F" w14:textId="0A53D834" w:rsidR="00C04AFC" w:rsidRPr="00FB6F63" w:rsidRDefault="00BC35DD" w:rsidP="00AB5B13">
      <w:pPr>
        <w:pStyle w:val="hang"/>
        <w:spacing w:after="0"/>
        <w:contextualSpacing/>
        <w:rPr>
          <w:b/>
          <w:szCs w:val="24"/>
        </w:rPr>
      </w:pPr>
      <w:r w:rsidRPr="007E7401">
        <w:rPr>
          <w:b/>
          <w:szCs w:val="24"/>
        </w:rPr>
        <w:lastRenderedPageBreak/>
        <w:t>Q.</w:t>
      </w:r>
      <w:r w:rsidRPr="00FB6F63">
        <w:rPr>
          <w:szCs w:val="24"/>
        </w:rPr>
        <w:t xml:space="preserve"> </w:t>
      </w:r>
      <w:r w:rsidRPr="00FB6F63">
        <w:rPr>
          <w:szCs w:val="24"/>
        </w:rPr>
        <w:tab/>
      </w:r>
      <w:r w:rsidR="00C04AFC" w:rsidRPr="00FB6F63">
        <w:rPr>
          <w:b/>
          <w:szCs w:val="24"/>
        </w:rPr>
        <w:t xml:space="preserve">WHAT APPROVALS ARE YOU SEEKING IN THIS CASE FOR </w:t>
      </w:r>
      <w:r w:rsidR="00745D8F">
        <w:rPr>
          <w:b/>
          <w:szCs w:val="24"/>
        </w:rPr>
        <w:t>T&amp;D</w:t>
      </w:r>
      <w:r w:rsidR="00C04AFC" w:rsidRPr="00FB6F63">
        <w:rPr>
          <w:b/>
          <w:szCs w:val="24"/>
        </w:rPr>
        <w:t xml:space="preserve"> INVESTMENTS?  </w:t>
      </w:r>
    </w:p>
    <w:p w14:paraId="40777D27" w14:textId="77777777" w:rsidR="00BC35DD" w:rsidRDefault="00BC35DD" w:rsidP="00FB6F63">
      <w:pPr>
        <w:pStyle w:val="hang"/>
        <w:widowControl/>
        <w:spacing w:after="0"/>
        <w:contextualSpacing/>
        <w:rPr>
          <w:szCs w:val="24"/>
        </w:rPr>
      </w:pPr>
      <w:r w:rsidRPr="00FB6F63">
        <w:rPr>
          <w:szCs w:val="24"/>
        </w:rPr>
        <w:t>A.</w:t>
      </w:r>
      <w:r w:rsidR="00C04AFC" w:rsidRPr="00FB6F63">
        <w:rPr>
          <w:szCs w:val="24"/>
        </w:rPr>
        <w:tab/>
        <w:t xml:space="preserve">As with prior cases, </w:t>
      </w:r>
      <w:r w:rsidR="00F85AA4" w:rsidRPr="00FB6F63">
        <w:rPr>
          <w:szCs w:val="24"/>
        </w:rPr>
        <w:t>the Company</w:t>
      </w:r>
      <w:r w:rsidR="00C04AFC" w:rsidRPr="00FB6F63">
        <w:rPr>
          <w:szCs w:val="24"/>
        </w:rPr>
        <w:t xml:space="preserve"> </w:t>
      </w:r>
      <w:r w:rsidR="00F85AA4" w:rsidRPr="00FB6F63">
        <w:rPr>
          <w:szCs w:val="24"/>
        </w:rPr>
        <w:t xml:space="preserve">is </w:t>
      </w:r>
      <w:r w:rsidR="00C04AFC" w:rsidRPr="00FB6F63">
        <w:rPr>
          <w:szCs w:val="24"/>
        </w:rPr>
        <w:t>seeking approval to undertake these investments and cost recovery of the investments made during the period covered by the ARP.</w:t>
      </w:r>
      <w:r w:rsidR="00F85AA4" w:rsidRPr="00FB6F63">
        <w:rPr>
          <w:szCs w:val="24"/>
        </w:rPr>
        <w:t xml:space="preserve">  </w:t>
      </w:r>
      <w:r w:rsidR="00C04AFC" w:rsidRPr="00FB6F63">
        <w:rPr>
          <w:szCs w:val="24"/>
        </w:rPr>
        <w:t>In this case, such investments include, but are not limited to, investments related to the transmission upgrades required should Bowen 1 and 2 or future coal units be retired as well as the work the Company will begin that is necessary to effectuate the grid investment plan.  Both</w:t>
      </w:r>
      <w:r w:rsidR="00F85AA4" w:rsidRPr="00FB6F63">
        <w:rPr>
          <w:szCs w:val="24"/>
        </w:rPr>
        <w:t xml:space="preserve"> of</w:t>
      </w:r>
      <w:r w:rsidR="00C04AFC" w:rsidRPr="00FB6F63">
        <w:rPr>
          <w:szCs w:val="24"/>
        </w:rPr>
        <w:t xml:space="preserve"> these efforts will expand over multiple years, and for long term investments like the </w:t>
      </w:r>
      <w:r w:rsidR="006F258B" w:rsidRPr="00FB6F63">
        <w:rPr>
          <w:szCs w:val="24"/>
        </w:rPr>
        <w:t>g</w:t>
      </w:r>
      <w:r w:rsidR="00C04AFC" w:rsidRPr="00FB6F63">
        <w:rPr>
          <w:szCs w:val="24"/>
        </w:rPr>
        <w:t xml:space="preserve">rid </w:t>
      </w:r>
      <w:r w:rsidR="006F258B" w:rsidRPr="00FB6F63">
        <w:rPr>
          <w:szCs w:val="24"/>
        </w:rPr>
        <w:t>i</w:t>
      </w:r>
      <w:r w:rsidR="00C04AFC" w:rsidRPr="00FB6F63">
        <w:rPr>
          <w:szCs w:val="24"/>
        </w:rPr>
        <w:t xml:space="preserve">nvestment </w:t>
      </w:r>
      <w:r w:rsidR="006F258B" w:rsidRPr="00FB6F63">
        <w:rPr>
          <w:szCs w:val="24"/>
        </w:rPr>
        <w:t>p</w:t>
      </w:r>
      <w:r w:rsidR="00C04AFC" w:rsidRPr="00FB6F63">
        <w:rPr>
          <w:szCs w:val="24"/>
        </w:rPr>
        <w:t>lan, the Company will continue to update the Commission on progress of these initiatives in future cases.</w:t>
      </w:r>
    </w:p>
    <w:p w14:paraId="43091B28" w14:textId="77777777" w:rsidR="00743B3E" w:rsidRPr="00652073" w:rsidRDefault="00743B3E" w:rsidP="00743B3E">
      <w:pPr>
        <w:pStyle w:val="hang"/>
        <w:spacing w:after="0"/>
        <w:contextualSpacing/>
        <w:rPr>
          <w:szCs w:val="24"/>
        </w:rPr>
      </w:pPr>
    </w:p>
    <w:p w14:paraId="4F63AD24" w14:textId="77777777" w:rsidR="00FF1E72" w:rsidRDefault="007E53A1" w:rsidP="000C6293">
      <w:pPr>
        <w:keepNext/>
        <w:numPr>
          <w:ilvl w:val="1"/>
          <w:numId w:val="0"/>
        </w:numPr>
        <w:spacing w:line="360" w:lineRule="auto"/>
        <w:contextualSpacing/>
        <w:jc w:val="both"/>
        <w:outlineLvl w:val="1"/>
        <w:rPr>
          <w:rFonts w:eastAsia="Times New Roman"/>
          <w:b/>
          <w:bCs/>
          <w:i/>
          <w:u w:val="single"/>
          <w:lang w:eastAsia="en-US"/>
        </w:rPr>
      </w:pPr>
      <w:r w:rsidRPr="00652073">
        <w:rPr>
          <w:rFonts w:eastAsia="Times New Roman"/>
          <w:b/>
          <w:bCs/>
          <w:i/>
          <w:u w:val="single"/>
          <w:lang w:eastAsia="en-US"/>
        </w:rPr>
        <w:t>Distribution Plan</w:t>
      </w:r>
    </w:p>
    <w:p w14:paraId="3DF60F3A" w14:textId="77777777" w:rsidR="000C6293" w:rsidRPr="00652073" w:rsidRDefault="000C6293" w:rsidP="00C23928">
      <w:pPr>
        <w:keepNext/>
        <w:numPr>
          <w:ilvl w:val="1"/>
          <w:numId w:val="0"/>
        </w:numPr>
        <w:spacing w:line="360" w:lineRule="auto"/>
        <w:contextualSpacing/>
        <w:jc w:val="both"/>
        <w:outlineLvl w:val="1"/>
        <w:rPr>
          <w:rFonts w:eastAsia="Times New Roman"/>
          <w:b/>
          <w:bCs/>
          <w:i/>
          <w:u w:val="single"/>
          <w:lang w:eastAsia="en-US"/>
        </w:rPr>
      </w:pPr>
    </w:p>
    <w:p w14:paraId="23B2F30C" w14:textId="77777777" w:rsidR="007E53A1" w:rsidRPr="00652073" w:rsidRDefault="007E53A1" w:rsidP="00C23928">
      <w:pPr>
        <w:keepNext/>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PLEASE PROVIDE AN OVERVIEW OF THE DISTRIBUTION PORTION OF THE COMPANY’S GRID INVESTMENT PLAN.  </w:t>
      </w:r>
    </w:p>
    <w:p w14:paraId="0AC7F3AC" w14:textId="762F031B" w:rsidR="002C6DC9" w:rsidRPr="002C6DC9" w:rsidRDefault="007E53A1" w:rsidP="002C6DC9">
      <w:pPr>
        <w:pStyle w:val="hang"/>
        <w:spacing w:after="0"/>
        <w:contextualSpacing/>
      </w:pPr>
      <w:r w:rsidRPr="00652073">
        <w:rPr>
          <w:szCs w:val="24"/>
        </w:rPr>
        <w:t>A.</w:t>
      </w:r>
      <w:r w:rsidRPr="00652073">
        <w:rPr>
          <w:szCs w:val="24"/>
        </w:rPr>
        <w:tab/>
      </w:r>
      <w:r w:rsidR="00AB5B13" w:rsidRPr="00652073">
        <w:rPr>
          <w:szCs w:val="24"/>
        </w:rPr>
        <w:t>The Company plans to invest in approximately 800 underperforming distribution feeders to improve reliability for customers.  Underperforming feeders are described a</w:t>
      </w:r>
      <w:r w:rsidR="00770FF0">
        <w:rPr>
          <w:szCs w:val="24"/>
        </w:rPr>
        <w:t>s</w:t>
      </w:r>
      <w:r w:rsidR="00AB5B13" w:rsidRPr="00652073">
        <w:rPr>
          <w:szCs w:val="24"/>
        </w:rPr>
        <w:t xml:space="preserve"> a feeder in the third or fourth quartile</w:t>
      </w:r>
      <w:r w:rsidR="004C67CC">
        <w:rPr>
          <w:szCs w:val="24"/>
        </w:rPr>
        <w:t xml:space="preserve"> across the Georgia Power system</w:t>
      </w:r>
      <w:r w:rsidR="00AB5B13" w:rsidRPr="00652073">
        <w:rPr>
          <w:szCs w:val="24"/>
        </w:rPr>
        <w:t xml:space="preserve"> in both SAIDI and SAIFI performance.</w:t>
      </w:r>
      <w:r w:rsidR="00AB5B13">
        <w:rPr>
          <w:szCs w:val="24"/>
        </w:rPr>
        <w:t xml:space="preserve">  </w:t>
      </w:r>
      <w:r w:rsidR="00AB5B13" w:rsidRPr="00652073">
        <w:rPr>
          <w:szCs w:val="24"/>
        </w:rPr>
        <w:t>Customers receiving service from these feeders</w:t>
      </w:r>
      <w:r w:rsidR="00AB5B13">
        <w:rPr>
          <w:szCs w:val="24"/>
        </w:rPr>
        <w:t xml:space="preserve"> experience</w:t>
      </w:r>
      <w:r w:rsidR="00AB5B13" w:rsidRPr="00652073">
        <w:rPr>
          <w:szCs w:val="24"/>
        </w:rPr>
        <w:t xml:space="preserve"> longer and more frequent outages than customer</w:t>
      </w:r>
      <w:r w:rsidR="00AB5B13">
        <w:rPr>
          <w:szCs w:val="24"/>
        </w:rPr>
        <w:t>s</w:t>
      </w:r>
      <w:r w:rsidR="00AB5B13" w:rsidRPr="00652073">
        <w:rPr>
          <w:szCs w:val="24"/>
        </w:rPr>
        <w:t xml:space="preserve"> served from the remaining approximately 1</w:t>
      </w:r>
      <w:r w:rsidR="00AB5B13">
        <w:rPr>
          <w:szCs w:val="24"/>
        </w:rPr>
        <w:t>,</w:t>
      </w:r>
      <w:r w:rsidR="00AB5B13" w:rsidRPr="00652073">
        <w:rPr>
          <w:szCs w:val="24"/>
        </w:rPr>
        <w:t xml:space="preserve">700 feeders. </w:t>
      </w:r>
      <w:r w:rsidR="00AB5B13">
        <w:t xml:space="preserve"> </w:t>
      </w:r>
      <w:r w:rsidR="00AB5B13" w:rsidRPr="00D757F8">
        <w:t xml:space="preserve">Investments have been identified for each individual </w:t>
      </w:r>
      <w:r w:rsidR="00AB5B13">
        <w:t>feeder</w:t>
      </w:r>
      <w:r w:rsidR="00AB5B13" w:rsidRPr="00D757F8">
        <w:t xml:space="preserve"> to improve its reliability based on the root cause</w:t>
      </w:r>
      <w:r w:rsidR="00AB5B13">
        <w:t>s</w:t>
      </w:r>
      <w:r w:rsidR="00AB5B13" w:rsidRPr="00D757F8">
        <w:t xml:space="preserve"> of historical outages</w:t>
      </w:r>
      <w:r w:rsidR="00AB5B13">
        <w:t xml:space="preserve">.  </w:t>
      </w:r>
      <w:r w:rsidR="00AB5B13" w:rsidRPr="00D757F8">
        <w:t>Potential solutions include the creation of more self-healing distribution networks, utilization of advanced control and monitoring technologies, placing distribution infrastructure underground in a targeted manner, sectionalizing of customers</w:t>
      </w:r>
      <w:r w:rsidR="00DB62C0">
        <w:t xml:space="preserve">, </w:t>
      </w:r>
      <w:r w:rsidR="00DB62C0" w:rsidRPr="00DB62C0">
        <w:t xml:space="preserve">replacing existing framing hardware to improve basic insulation level </w:t>
      </w:r>
      <w:r w:rsidR="00AB5B13" w:rsidRPr="00D757F8">
        <w:t>and creating additional distribution feeder ties</w:t>
      </w:r>
      <w:r w:rsidR="00AB5B13">
        <w:t>.</w:t>
      </w:r>
      <w:r w:rsidR="00DB62C0">
        <w:t xml:space="preserve">  </w:t>
      </w:r>
      <w:r w:rsidR="00AB5B13" w:rsidRPr="00652073">
        <w:rPr>
          <w:szCs w:val="24"/>
        </w:rPr>
        <w:t xml:space="preserve">This </w:t>
      </w:r>
      <w:r w:rsidR="00AB5B13" w:rsidRPr="00F95969">
        <w:t xml:space="preserve">effort leverages proven solutions to address the root causes of system reliability issues. </w:t>
      </w:r>
      <w:r w:rsidR="002C6DC9">
        <w:rPr>
          <w:rFonts w:eastAsia="MS Mincho"/>
          <w:szCs w:val="24"/>
        </w:rPr>
        <w:br w:type="page"/>
      </w:r>
    </w:p>
    <w:p w14:paraId="33DBCBC0" w14:textId="77777777" w:rsidR="007E53A1" w:rsidRPr="00652073" w:rsidRDefault="007E53A1" w:rsidP="007E53A1">
      <w:pPr>
        <w:pStyle w:val="StandardL2"/>
        <w:widowControl w:val="0"/>
        <w:contextualSpacing/>
        <w:jc w:val="both"/>
        <w:rPr>
          <w:szCs w:val="24"/>
        </w:rPr>
      </w:pPr>
      <w:r w:rsidRPr="00652073">
        <w:rPr>
          <w:rFonts w:eastAsia="Times New Roman"/>
          <w:szCs w:val="24"/>
        </w:rPr>
        <w:lastRenderedPageBreak/>
        <w:t>PLEASE IDENTIFY THE PRIMARY GOALS OF THE DISTRIBUTION PROJECTS</w:t>
      </w:r>
      <w:r w:rsidR="005227D8">
        <w:rPr>
          <w:rFonts w:eastAsia="Times New Roman"/>
          <w:szCs w:val="24"/>
        </w:rPr>
        <w:t>.</w:t>
      </w:r>
      <w:r w:rsidRPr="00652073">
        <w:rPr>
          <w:rFonts w:eastAsia="Times New Roman"/>
          <w:szCs w:val="24"/>
        </w:rPr>
        <w:t xml:space="preserve"> </w:t>
      </w:r>
    </w:p>
    <w:p w14:paraId="12245C6B" w14:textId="77777777" w:rsidR="007E53A1" w:rsidRDefault="007E53A1" w:rsidP="00AB48A0">
      <w:pPr>
        <w:pStyle w:val="hang"/>
        <w:spacing w:after="0"/>
        <w:rPr>
          <w:szCs w:val="24"/>
        </w:rPr>
      </w:pPr>
      <w:r w:rsidRPr="00652073">
        <w:rPr>
          <w:szCs w:val="24"/>
        </w:rPr>
        <w:t>A.</w:t>
      </w:r>
      <w:r w:rsidRPr="00652073">
        <w:rPr>
          <w:szCs w:val="24"/>
        </w:rPr>
        <w:tab/>
        <w:t>The Company</w:t>
      </w:r>
      <w:r w:rsidR="00B46900">
        <w:rPr>
          <w:szCs w:val="24"/>
        </w:rPr>
        <w:t xml:space="preserve"> is</w:t>
      </w:r>
      <w:r w:rsidRPr="00652073">
        <w:rPr>
          <w:szCs w:val="24"/>
        </w:rPr>
        <w:t xml:space="preserve"> </w:t>
      </w:r>
      <w:r w:rsidR="008F7AFC">
        <w:rPr>
          <w:szCs w:val="24"/>
        </w:rPr>
        <w:t>seek</w:t>
      </w:r>
      <w:r w:rsidR="00B46900">
        <w:rPr>
          <w:szCs w:val="24"/>
        </w:rPr>
        <w:t>ing</w:t>
      </w:r>
      <w:r w:rsidR="008F7AFC">
        <w:rPr>
          <w:szCs w:val="24"/>
        </w:rPr>
        <w:t xml:space="preserve"> </w:t>
      </w:r>
      <w:r w:rsidRPr="00652073">
        <w:rPr>
          <w:szCs w:val="24"/>
        </w:rPr>
        <w:t xml:space="preserve">to improve reliability for customers who are experiencing </w:t>
      </w:r>
      <w:r w:rsidR="008F7AFC">
        <w:rPr>
          <w:szCs w:val="24"/>
        </w:rPr>
        <w:t xml:space="preserve">lower levels of </w:t>
      </w:r>
      <w:r w:rsidRPr="00652073">
        <w:rPr>
          <w:szCs w:val="24"/>
        </w:rPr>
        <w:t xml:space="preserve">reliability compared to </w:t>
      </w:r>
      <w:r w:rsidR="008F7AFC">
        <w:rPr>
          <w:szCs w:val="24"/>
        </w:rPr>
        <w:t>other</w:t>
      </w:r>
      <w:r w:rsidRPr="00652073">
        <w:rPr>
          <w:szCs w:val="24"/>
        </w:rPr>
        <w:t xml:space="preserve"> customer</w:t>
      </w:r>
      <w:r w:rsidR="008F7AFC">
        <w:rPr>
          <w:szCs w:val="24"/>
        </w:rPr>
        <w:t>s</w:t>
      </w:r>
      <w:r w:rsidRPr="00652073">
        <w:rPr>
          <w:szCs w:val="24"/>
        </w:rPr>
        <w:t>,</w:t>
      </w:r>
      <w:r w:rsidR="00743B3E">
        <w:rPr>
          <w:szCs w:val="24"/>
        </w:rPr>
        <w:t xml:space="preserve"> </w:t>
      </w:r>
      <w:r w:rsidR="008F7AFC">
        <w:rPr>
          <w:szCs w:val="24"/>
        </w:rPr>
        <w:t>improving the customer experience</w:t>
      </w:r>
      <w:r w:rsidRPr="00652073">
        <w:rPr>
          <w:szCs w:val="24"/>
        </w:rPr>
        <w:t>, and reducing O&amp;M expenses over time.</w:t>
      </w:r>
    </w:p>
    <w:p w14:paraId="17FA3C48" w14:textId="77777777" w:rsidR="00FC77FA" w:rsidRDefault="00FC77FA" w:rsidP="00AB48A0">
      <w:pPr>
        <w:pStyle w:val="hang"/>
        <w:spacing w:after="0"/>
        <w:rPr>
          <w:szCs w:val="24"/>
        </w:rPr>
      </w:pPr>
    </w:p>
    <w:p w14:paraId="75E74D9A" w14:textId="77777777" w:rsidR="00010671" w:rsidRPr="00652073" w:rsidRDefault="00010671" w:rsidP="00010671">
      <w:pPr>
        <w:widowControl w:val="0"/>
        <w:numPr>
          <w:ilvl w:val="1"/>
          <w:numId w:val="0"/>
        </w:numPr>
        <w:tabs>
          <w:tab w:val="num" w:pos="720"/>
        </w:tabs>
        <w:spacing w:line="360" w:lineRule="auto"/>
        <w:ind w:left="720" w:hanging="720"/>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HOW DOES THE COMPANY MEASURE DISTRIBUTION SYSTEM PERFORMANCE? </w:t>
      </w:r>
    </w:p>
    <w:p w14:paraId="4598F6AB" w14:textId="77777777" w:rsidR="00010671" w:rsidRDefault="00010671" w:rsidP="00FB6F63">
      <w:pPr>
        <w:pStyle w:val="hang"/>
        <w:widowControl/>
        <w:rPr>
          <w:szCs w:val="24"/>
        </w:rPr>
      </w:pPr>
      <w:r w:rsidRPr="00652073">
        <w:rPr>
          <w:rFonts w:eastAsia="MS Mincho"/>
          <w:szCs w:val="24"/>
        </w:rPr>
        <w:t>A.</w:t>
      </w:r>
      <w:r w:rsidRPr="00652073">
        <w:rPr>
          <w:rFonts w:eastAsia="MS Mincho"/>
          <w:szCs w:val="24"/>
        </w:rPr>
        <w:tab/>
      </w:r>
      <w:r w:rsidRPr="00652073">
        <w:rPr>
          <w:szCs w:val="24"/>
        </w:rPr>
        <w:t xml:space="preserve">The chart below defines the metrics the Company currently relies on to measure distribution system performance: </w:t>
      </w:r>
    </w:p>
    <w:tbl>
      <w:tblPr>
        <w:tblStyle w:val="ListTable2-Accent11"/>
        <w:tblW w:w="8820"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6729"/>
      </w:tblGrid>
      <w:tr w:rsidR="00010671" w14:paraId="739A9A66" w14:textId="77777777" w:rsidTr="00F74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83BE35A" w14:textId="77777777" w:rsidR="00010671" w:rsidRPr="001020E4" w:rsidRDefault="00010671" w:rsidP="00C23928">
            <w:pPr>
              <w:keepNext/>
              <w:jc w:val="center"/>
              <w:rPr>
                <w:rFonts w:ascii="Times New Roman" w:eastAsia="MS Mincho" w:hAnsi="Times New Roman" w:cs="Times New Roman"/>
                <w:lang w:eastAsia="en-US"/>
              </w:rPr>
            </w:pPr>
            <w:r w:rsidRPr="001020E4">
              <w:rPr>
                <w:rFonts w:ascii="Times New Roman" w:hAnsi="Times New Roman" w:cs="Times New Roman"/>
                <w:lang w:eastAsia="en-US"/>
              </w:rPr>
              <w:t>System Average Interruption Frequency Index (SAIFI):</w:t>
            </w:r>
          </w:p>
        </w:tc>
        <w:tc>
          <w:tcPr>
            <w:tcW w:w="4859" w:type="dxa"/>
            <w:vAlign w:val="center"/>
          </w:tcPr>
          <w:p w14:paraId="4C8DB662" w14:textId="77777777" w:rsidR="00010671" w:rsidRPr="001020E4" w:rsidRDefault="009620C0" w:rsidP="007D2E0F">
            <w:pPr>
              <w:widowControl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eastAsia="en-US"/>
              </w:rPr>
            </w:pPr>
            <w:r w:rsidRPr="001020E4">
              <w:rPr>
                <w:rFonts w:ascii="Times New Roman" w:hAnsi="Times New Roman" w:cs="Times New Roman"/>
                <w:b w:val="0"/>
                <w:lang w:eastAsia="en-US"/>
              </w:rPr>
              <w:t xml:space="preserve">Average number of </w:t>
            </w:r>
            <w:r w:rsidRPr="001020E4">
              <w:rPr>
                <w:rFonts w:ascii="Times New Roman" w:hAnsi="Times New Roman" w:cs="Times New Roman"/>
                <w:b w:val="0"/>
                <w:bCs w:val="0"/>
                <w:lang w:eastAsia="en-US"/>
              </w:rPr>
              <w:t xml:space="preserve">sustained </w:t>
            </w:r>
            <w:r w:rsidRPr="001020E4">
              <w:rPr>
                <w:rFonts w:ascii="Times New Roman" w:hAnsi="Times New Roman" w:cs="Times New Roman"/>
                <w:b w:val="0"/>
                <w:lang w:eastAsia="en-US"/>
              </w:rPr>
              <w:t xml:space="preserve">interruptions for each customer on an annual basis.  </w:t>
            </w:r>
            <w:r w:rsidRPr="001020E4">
              <w:rPr>
                <w:rFonts w:ascii="Times New Roman" w:eastAsia="Times New Roman" w:hAnsi="Times New Roman" w:cs="Times New Roman"/>
                <w:b w:val="0"/>
                <w:lang w:eastAsia="en-US"/>
              </w:rPr>
              <w:t>(outages &gt; 5 minutes)</w:t>
            </w:r>
          </w:p>
        </w:tc>
      </w:tr>
      <w:tr w:rsidR="00010671" w14:paraId="7B474586" w14:textId="77777777" w:rsidTr="00F74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D22423B" w14:textId="77777777" w:rsidR="00010671" w:rsidRPr="001020E4" w:rsidRDefault="00010671" w:rsidP="00C23928">
            <w:pPr>
              <w:keepNext/>
              <w:jc w:val="center"/>
              <w:rPr>
                <w:rFonts w:ascii="Times New Roman" w:eastAsia="MS Mincho" w:hAnsi="Times New Roman" w:cs="Times New Roman"/>
                <w:lang w:eastAsia="en-US"/>
              </w:rPr>
            </w:pPr>
            <w:r w:rsidRPr="001020E4">
              <w:rPr>
                <w:rFonts w:ascii="Times New Roman" w:hAnsi="Times New Roman" w:cs="Times New Roman"/>
                <w:lang w:eastAsia="en-US"/>
              </w:rPr>
              <w:t>System Average Interruption Duration Index (SAIDI)</w:t>
            </w:r>
          </w:p>
        </w:tc>
        <w:tc>
          <w:tcPr>
            <w:tcW w:w="0" w:type="dxa"/>
            <w:shd w:val="clear" w:color="auto" w:fill="auto"/>
            <w:vAlign w:val="center"/>
          </w:tcPr>
          <w:p w14:paraId="7653789E" w14:textId="77777777" w:rsidR="00010671" w:rsidRPr="001020E4" w:rsidRDefault="009620C0" w:rsidP="007D2E0F">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eastAsia="en-US"/>
              </w:rPr>
            </w:pPr>
            <w:r w:rsidRPr="001020E4">
              <w:rPr>
                <w:rFonts w:ascii="Times New Roman" w:eastAsia="Times New Roman" w:hAnsi="Times New Roman" w:cs="Times New Roman"/>
              </w:rPr>
              <w:t>The total duration of interruption for the average customer during the year.</w:t>
            </w:r>
            <w:r w:rsidRPr="001020E4">
              <w:rPr>
                <w:rFonts w:ascii="Times New Roman" w:eastAsia="Times New Roman" w:hAnsi="Times New Roman" w:cs="Times New Roman"/>
                <w:lang w:eastAsia="en-US"/>
              </w:rPr>
              <w:t xml:space="preserve"> (outages &gt; 5 minutes)</w:t>
            </w:r>
          </w:p>
        </w:tc>
      </w:tr>
    </w:tbl>
    <w:p w14:paraId="784316E5" w14:textId="77777777" w:rsidR="00010671" w:rsidRPr="00652073" w:rsidRDefault="00010671" w:rsidP="00010671">
      <w:pPr>
        <w:pStyle w:val="ListParagraph"/>
        <w:widowControl w:val="0"/>
        <w:spacing w:line="360" w:lineRule="auto"/>
        <w:jc w:val="both"/>
        <w:outlineLvl w:val="2"/>
        <w:rPr>
          <w:rFonts w:eastAsia="MS Mincho"/>
          <w:lang w:eastAsia="en-US"/>
        </w:rPr>
      </w:pPr>
      <w:r w:rsidRPr="00652073">
        <w:rPr>
          <w:rFonts w:eastAsia="MS Mincho"/>
          <w:lang w:eastAsia="en-US"/>
        </w:rPr>
        <w:tab/>
      </w:r>
      <w:r w:rsidRPr="00652073">
        <w:rPr>
          <w:rFonts w:eastAsia="MS Mincho"/>
          <w:lang w:eastAsia="en-US"/>
        </w:rPr>
        <w:tab/>
      </w:r>
      <w:r w:rsidRPr="00652073">
        <w:rPr>
          <w:rFonts w:eastAsia="MS Mincho"/>
          <w:lang w:eastAsia="en-US"/>
        </w:rPr>
        <w:tab/>
      </w:r>
      <w:r w:rsidRPr="00652073">
        <w:rPr>
          <w:rFonts w:eastAsia="MS Mincho"/>
          <w:lang w:eastAsia="en-US"/>
        </w:rPr>
        <w:tab/>
      </w:r>
      <w:r w:rsidRPr="00652073">
        <w:rPr>
          <w:rFonts w:eastAsia="MS Mincho"/>
          <w:lang w:eastAsia="en-US"/>
        </w:rPr>
        <w:tab/>
      </w:r>
      <w:r w:rsidRPr="00652073">
        <w:rPr>
          <w:rFonts w:eastAsia="MS Mincho"/>
          <w:lang w:eastAsia="en-US"/>
        </w:rPr>
        <w:tab/>
      </w:r>
      <w:r w:rsidRPr="00652073">
        <w:rPr>
          <w:rFonts w:eastAsia="MS Mincho"/>
          <w:lang w:eastAsia="en-US"/>
        </w:rPr>
        <w:tab/>
      </w:r>
    </w:p>
    <w:p w14:paraId="40D23AB7" w14:textId="77777777" w:rsidR="007E53A1" w:rsidRPr="00652073" w:rsidRDefault="007E53A1" w:rsidP="00623F66">
      <w:pPr>
        <w:pStyle w:val="StandardL2"/>
        <w:widowControl w:val="0"/>
        <w:numPr>
          <w:ilvl w:val="1"/>
          <w:numId w:val="13"/>
        </w:numPr>
        <w:jc w:val="both"/>
        <w:rPr>
          <w:rFonts w:eastAsia="Times New Roman"/>
          <w:szCs w:val="24"/>
        </w:rPr>
      </w:pPr>
      <w:r w:rsidRPr="00652073">
        <w:rPr>
          <w:rFonts w:eastAsia="Times New Roman"/>
          <w:szCs w:val="24"/>
        </w:rPr>
        <w:t xml:space="preserve">HOW DID THE COMPANY DEVELOP DISTRIBUTION PACKAGES FOR THE GRID INVESTMENT PLAN? </w:t>
      </w:r>
    </w:p>
    <w:p w14:paraId="5C234B21" w14:textId="77777777" w:rsidR="00FC5393" w:rsidRPr="00917CC1" w:rsidRDefault="007E53A1" w:rsidP="00DB62C0">
      <w:pPr>
        <w:pStyle w:val="Indent"/>
        <w:spacing w:after="0"/>
        <w:ind w:hanging="720"/>
        <w:rPr>
          <w:rFonts w:eastAsia="MS Mincho"/>
          <w:szCs w:val="24"/>
        </w:rPr>
      </w:pPr>
      <w:r w:rsidRPr="007921DA">
        <w:rPr>
          <w:rFonts w:eastAsia="MS Mincho"/>
        </w:rPr>
        <w:t>A.</w:t>
      </w:r>
      <w:r w:rsidRPr="00652073">
        <w:rPr>
          <w:rFonts w:eastAsia="MS Mincho"/>
          <w:szCs w:val="24"/>
        </w:rPr>
        <w:tab/>
      </w:r>
      <w:r w:rsidR="00B3693D" w:rsidRPr="007921DA">
        <w:t>Exhibit</w:t>
      </w:r>
      <w:r w:rsidR="00597739">
        <w:t>___</w:t>
      </w:r>
      <w:r w:rsidR="00B3693D" w:rsidRPr="007921DA">
        <w:t>(</w:t>
      </w:r>
      <w:r w:rsidR="00B3693D">
        <w:t>DPP/SPA/MBR</w:t>
      </w:r>
      <w:r w:rsidR="00B3693D" w:rsidRPr="005F19CB">
        <w:t>-</w:t>
      </w:r>
      <w:r w:rsidR="0023730D">
        <w:t>7</w:t>
      </w:r>
      <w:r w:rsidR="00B3693D" w:rsidRPr="0027688D">
        <w:t>)</w:t>
      </w:r>
      <w:r w:rsidR="0027688D" w:rsidRPr="0027688D">
        <w:rPr>
          <w:szCs w:val="24"/>
        </w:rPr>
        <w:t xml:space="preserve"> </w:t>
      </w:r>
      <w:r w:rsidRPr="00652073">
        <w:rPr>
          <w:rFonts w:eastAsia="MS Mincho"/>
          <w:szCs w:val="24"/>
        </w:rPr>
        <w:t>provides detailed information regarding investment packages.</w:t>
      </w:r>
      <w:r w:rsidR="008E35E7">
        <w:rPr>
          <w:rFonts w:eastAsia="MS Mincho"/>
          <w:szCs w:val="24"/>
        </w:rPr>
        <w:t xml:space="preserve">  </w:t>
      </w:r>
      <w:r w:rsidR="00BA5C9D" w:rsidRPr="00652073">
        <w:rPr>
          <w:rFonts w:eastAsia="MS Mincho"/>
          <w:szCs w:val="24"/>
        </w:rPr>
        <w:t xml:space="preserve">The Company evaluated </w:t>
      </w:r>
      <w:r w:rsidR="00BA5C9D">
        <w:rPr>
          <w:rFonts w:eastAsia="MS Mincho"/>
          <w:szCs w:val="24"/>
        </w:rPr>
        <w:t xml:space="preserve">every </w:t>
      </w:r>
      <w:r w:rsidR="00BA5C9D" w:rsidRPr="00652073">
        <w:rPr>
          <w:rFonts w:eastAsia="MS Mincho"/>
          <w:szCs w:val="24"/>
        </w:rPr>
        <w:t>distribution feeder</w:t>
      </w:r>
      <w:r w:rsidR="00BA5C9D">
        <w:rPr>
          <w:rFonts w:eastAsia="MS Mincho"/>
          <w:szCs w:val="24"/>
        </w:rPr>
        <w:t xml:space="preserve"> on the system</w:t>
      </w:r>
      <w:r w:rsidR="00BA5C9D" w:rsidRPr="00652073">
        <w:rPr>
          <w:rFonts w:eastAsia="MS Mincho"/>
          <w:szCs w:val="24"/>
        </w:rPr>
        <w:t xml:space="preserve"> based on a variety of factors</w:t>
      </w:r>
      <w:r w:rsidR="00BA5C9D">
        <w:rPr>
          <w:rFonts w:eastAsia="MS Mincho"/>
          <w:szCs w:val="24"/>
        </w:rPr>
        <w:t xml:space="preserve">, </w:t>
      </w:r>
      <w:r w:rsidR="00BA5C9D" w:rsidRPr="00652073">
        <w:rPr>
          <w:rFonts w:eastAsia="MS Mincho"/>
          <w:szCs w:val="24"/>
        </w:rPr>
        <w:t>including traditional reliability metrics, outage drivers, and physical design.</w:t>
      </w:r>
      <w:r w:rsidR="00BA5C9D">
        <w:rPr>
          <w:rFonts w:eastAsia="MS Mincho"/>
          <w:szCs w:val="24"/>
        </w:rPr>
        <w:t xml:space="preserve"> Based on that evaluation, the Company identified </w:t>
      </w:r>
      <w:r w:rsidR="00BA5C9D" w:rsidRPr="00652073">
        <w:rPr>
          <w:szCs w:val="24"/>
        </w:rPr>
        <w:t xml:space="preserve">approximately </w:t>
      </w:r>
      <w:r w:rsidR="00BA5C9D">
        <w:rPr>
          <w:rFonts w:eastAsia="MS Mincho"/>
          <w:szCs w:val="24"/>
        </w:rPr>
        <w:t xml:space="preserve">800 underperforming feeders that provide the greatest opportunities to improve service reliability for customers.  Specifically, these 800 feeders not only fall </w:t>
      </w:r>
      <w:r w:rsidR="00BA5C9D" w:rsidRPr="00652073">
        <w:rPr>
          <w:rFonts w:eastAsia="MS Mincho"/>
          <w:szCs w:val="24"/>
        </w:rPr>
        <w:t>below the compan</w:t>
      </w:r>
      <w:r w:rsidR="00BA5C9D">
        <w:rPr>
          <w:rFonts w:eastAsia="MS Mincho"/>
          <w:szCs w:val="24"/>
        </w:rPr>
        <w:t xml:space="preserve">y’s </w:t>
      </w:r>
      <w:r w:rsidR="00BA5C9D" w:rsidRPr="00652073">
        <w:rPr>
          <w:rFonts w:eastAsia="MS Mincho"/>
          <w:szCs w:val="24"/>
        </w:rPr>
        <w:t>SAIDI and SAIFI</w:t>
      </w:r>
      <w:r w:rsidR="00BA5C9D">
        <w:rPr>
          <w:rFonts w:eastAsia="MS Mincho"/>
          <w:szCs w:val="24"/>
        </w:rPr>
        <w:t xml:space="preserve"> median, </w:t>
      </w:r>
      <w:r w:rsidR="00BA5C9D" w:rsidRPr="00652073">
        <w:rPr>
          <w:rFonts w:eastAsia="MS Mincho"/>
          <w:szCs w:val="24"/>
        </w:rPr>
        <w:t>but</w:t>
      </w:r>
      <w:r w:rsidR="00BA5C9D">
        <w:rPr>
          <w:rFonts w:eastAsia="MS Mincho"/>
          <w:szCs w:val="24"/>
        </w:rPr>
        <w:t xml:space="preserve"> </w:t>
      </w:r>
      <w:r w:rsidR="00BA5C9D" w:rsidRPr="00652073">
        <w:rPr>
          <w:rFonts w:eastAsia="MS Mincho"/>
          <w:szCs w:val="24"/>
        </w:rPr>
        <w:t xml:space="preserve">also have seen </w:t>
      </w:r>
      <w:r w:rsidR="00BA5C9D">
        <w:rPr>
          <w:rFonts w:eastAsia="MS Mincho"/>
          <w:szCs w:val="24"/>
        </w:rPr>
        <w:t xml:space="preserve">reliability performance </w:t>
      </w:r>
      <w:r w:rsidR="00BA5C9D" w:rsidRPr="00652073">
        <w:rPr>
          <w:rFonts w:eastAsia="MS Mincho"/>
          <w:szCs w:val="24"/>
        </w:rPr>
        <w:t>declines</w:t>
      </w:r>
      <w:r w:rsidR="00BA5C9D">
        <w:rPr>
          <w:rFonts w:eastAsia="MS Mincho"/>
          <w:szCs w:val="24"/>
        </w:rPr>
        <w:t xml:space="preserve"> </w:t>
      </w:r>
      <w:r w:rsidR="00BA5C9D" w:rsidRPr="00652073">
        <w:rPr>
          <w:rFonts w:eastAsia="MS Mincho"/>
          <w:szCs w:val="24"/>
        </w:rPr>
        <w:t>over the past five years</w:t>
      </w:r>
      <w:r w:rsidR="00BA5C9D">
        <w:rPr>
          <w:rFonts w:eastAsia="MS Mincho"/>
          <w:szCs w:val="24"/>
        </w:rPr>
        <w:t xml:space="preserve">—these </w:t>
      </w:r>
      <w:r w:rsidR="00BA5C9D" w:rsidRPr="00652073">
        <w:rPr>
          <w:szCs w:val="24"/>
        </w:rPr>
        <w:t xml:space="preserve">feeders have experienced an average SAIDI increase of 14% per year and an average SAIFI increase of 4% per year.  </w:t>
      </w:r>
      <w:r w:rsidR="005A5BE8">
        <w:rPr>
          <w:szCs w:val="24"/>
        </w:rPr>
        <w:t>A</w:t>
      </w:r>
      <w:r w:rsidR="00BA5C9D">
        <w:rPr>
          <w:szCs w:val="24"/>
        </w:rPr>
        <w:t>n increase in SAIDI and SAIFI metrics represents a decline in reliability</w:t>
      </w:r>
      <w:r w:rsidR="00410AAA">
        <w:rPr>
          <w:szCs w:val="24"/>
        </w:rPr>
        <w:t xml:space="preserve"> (</w:t>
      </w:r>
      <w:r w:rsidR="00BA5C9D">
        <w:rPr>
          <w:szCs w:val="24"/>
        </w:rPr>
        <w:t>i.e. longer and more frequent outages</w:t>
      </w:r>
      <w:r w:rsidR="00410AAA">
        <w:rPr>
          <w:szCs w:val="24"/>
        </w:rPr>
        <w:t>)</w:t>
      </w:r>
      <w:r w:rsidR="00BA5C9D">
        <w:rPr>
          <w:szCs w:val="24"/>
        </w:rPr>
        <w:t>.</w:t>
      </w:r>
      <w:r w:rsidR="005A5BE8">
        <w:rPr>
          <w:szCs w:val="24"/>
        </w:rPr>
        <w:t xml:space="preserve"> </w:t>
      </w:r>
      <w:r w:rsidR="00BA5C9D">
        <w:rPr>
          <w:szCs w:val="24"/>
        </w:rPr>
        <w:t xml:space="preserve"> </w:t>
      </w:r>
      <w:r w:rsidR="00BA5C9D" w:rsidRPr="00652073">
        <w:rPr>
          <w:rFonts w:eastAsia="MS Mincho"/>
          <w:szCs w:val="24"/>
        </w:rPr>
        <w:t xml:space="preserve">The reliability </w:t>
      </w:r>
      <w:r w:rsidR="00BA5C9D" w:rsidRPr="00652073">
        <w:rPr>
          <w:rFonts w:eastAsia="MS Mincho"/>
          <w:szCs w:val="24"/>
        </w:rPr>
        <w:lastRenderedPageBreak/>
        <w:t>of the remaining 1</w:t>
      </w:r>
      <w:r w:rsidR="00BA5C9D">
        <w:rPr>
          <w:rFonts w:eastAsia="MS Mincho"/>
          <w:szCs w:val="24"/>
        </w:rPr>
        <w:t>,</w:t>
      </w:r>
      <w:r w:rsidR="00BA5C9D" w:rsidRPr="00652073">
        <w:rPr>
          <w:rFonts w:eastAsia="MS Mincho"/>
          <w:szCs w:val="24"/>
        </w:rPr>
        <w:t>700 feeders either remained flat</w:t>
      </w:r>
      <w:r w:rsidR="00BA5C9D">
        <w:rPr>
          <w:rFonts w:eastAsia="MS Mincho"/>
          <w:szCs w:val="24"/>
        </w:rPr>
        <w:t xml:space="preserve"> or</w:t>
      </w:r>
      <w:r w:rsidR="00BA5C9D" w:rsidRPr="00652073">
        <w:rPr>
          <w:rFonts w:eastAsia="MS Mincho"/>
          <w:szCs w:val="24"/>
        </w:rPr>
        <w:t xml:space="preserve"> had improved reliability</w:t>
      </w:r>
      <w:r w:rsidR="00BA5C9D">
        <w:rPr>
          <w:rFonts w:eastAsia="MS Mincho"/>
          <w:szCs w:val="24"/>
        </w:rPr>
        <w:t xml:space="preserve"> performance over the same period</w:t>
      </w:r>
      <w:r w:rsidR="00BA5C9D" w:rsidRPr="00652073">
        <w:rPr>
          <w:rFonts w:eastAsia="MS Mincho"/>
          <w:szCs w:val="24"/>
        </w:rPr>
        <w:t>.</w:t>
      </w:r>
      <w:r w:rsidR="00BA5C9D">
        <w:rPr>
          <w:rFonts w:eastAsia="MS Mincho"/>
          <w:szCs w:val="24"/>
        </w:rPr>
        <w:t xml:space="preserve">  </w:t>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DB62C0">
        <w:rPr>
          <w:rFonts w:eastAsia="MS Mincho"/>
          <w:szCs w:val="24"/>
        </w:rPr>
        <w:tab/>
      </w:r>
      <w:r w:rsidR="00BA5C9D">
        <w:rPr>
          <w:rFonts w:eastAsia="MS Mincho"/>
          <w:szCs w:val="24"/>
        </w:rPr>
        <w:t xml:space="preserve"> </w:t>
      </w:r>
    </w:p>
    <w:p w14:paraId="51062A39" w14:textId="77777777" w:rsidR="007E53A1" w:rsidRPr="00652073" w:rsidRDefault="007E53A1" w:rsidP="007E53A1">
      <w:pPr>
        <w:widowControl w:val="0"/>
        <w:numPr>
          <w:ilvl w:val="1"/>
          <w:numId w:val="0"/>
        </w:numPr>
        <w:tabs>
          <w:tab w:val="num" w:pos="720"/>
        </w:tabs>
        <w:spacing w:line="360" w:lineRule="auto"/>
        <w:ind w:left="720" w:hanging="720"/>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DOES THE COMPANY HAVE CONCERNS </w:t>
      </w:r>
      <w:r w:rsidR="0020258F">
        <w:rPr>
          <w:rFonts w:eastAsia="Times New Roman"/>
          <w:b/>
          <w:lang w:eastAsia="en-US"/>
        </w:rPr>
        <w:t>ABOUT</w:t>
      </w:r>
      <w:r w:rsidRPr="00652073">
        <w:rPr>
          <w:rFonts w:eastAsia="Times New Roman"/>
          <w:b/>
          <w:lang w:eastAsia="en-US"/>
        </w:rPr>
        <w:t xml:space="preserve"> MAINTAINING CONSISTENT CUSTOMER SATISFACTION LEVELS? </w:t>
      </w:r>
    </w:p>
    <w:p w14:paraId="748EA27F" w14:textId="77777777" w:rsidR="007E53A1" w:rsidRPr="001E44D2" w:rsidRDefault="007E53A1" w:rsidP="00AB48A0">
      <w:pPr>
        <w:pStyle w:val="hang"/>
        <w:spacing w:after="0"/>
        <w:rPr>
          <w:u w:val="single"/>
        </w:rPr>
      </w:pPr>
      <w:r w:rsidRPr="00652073">
        <w:rPr>
          <w:szCs w:val="24"/>
        </w:rPr>
        <w:t>A.</w:t>
      </w:r>
      <w:r w:rsidRPr="00652073">
        <w:rPr>
          <w:szCs w:val="24"/>
        </w:rPr>
        <w:tab/>
      </w:r>
      <w:r w:rsidR="001E44D2" w:rsidRPr="00652073">
        <w:rPr>
          <w:szCs w:val="24"/>
        </w:rPr>
        <w:t>Yes.</w:t>
      </w:r>
      <w:r w:rsidR="001E44D2">
        <w:rPr>
          <w:szCs w:val="24"/>
        </w:rPr>
        <w:t xml:space="preserve"> </w:t>
      </w:r>
      <w:r w:rsidR="005A5BE8">
        <w:rPr>
          <w:szCs w:val="24"/>
        </w:rPr>
        <w:t xml:space="preserve"> </w:t>
      </w:r>
      <w:r w:rsidR="001E44D2" w:rsidRPr="00652073">
        <w:rPr>
          <w:szCs w:val="24"/>
        </w:rPr>
        <w:t>The Company has determined that regions with lower reliability have lower customer satisfaction levels. Although many factors impact customer satisfaction, including reliability, price, employee interactions and a variety of other variables, the distribution strategy targets improving satisfaction for the 1.1 million customers receiving service from th</w:t>
      </w:r>
      <w:r w:rsidR="001E44D2">
        <w:rPr>
          <w:szCs w:val="24"/>
        </w:rPr>
        <w:t>e</w:t>
      </w:r>
      <w:r w:rsidR="001E44D2" w:rsidRPr="00652073">
        <w:rPr>
          <w:szCs w:val="24"/>
        </w:rPr>
        <w:t>se underperforming feeders</w:t>
      </w:r>
      <w:r w:rsidR="001E44D2" w:rsidRPr="00F72F02">
        <w:rPr>
          <w:szCs w:val="24"/>
        </w:rPr>
        <w:t xml:space="preserve">. </w:t>
      </w:r>
    </w:p>
    <w:p w14:paraId="1EFCE184" w14:textId="77777777" w:rsidR="008E35E7" w:rsidRPr="00652073" w:rsidRDefault="008E35E7" w:rsidP="00582CD9">
      <w:pPr>
        <w:pStyle w:val="hang"/>
        <w:spacing w:after="0"/>
        <w:rPr>
          <w:szCs w:val="24"/>
        </w:rPr>
      </w:pPr>
    </w:p>
    <w:p w14:paraId="666456B3" w14:textId="77777777" w:rsidR="007E53A1" w:rsidRPr="00652073" w:rsidRDefault="007E53A1" w:rsidP="00623F66">
      <w:pPr>
        <w:pStyle w:val="ListParagraph"/>
        <w:widowControl w:val="0"/>
        <w:numPr>
          <w:ilvl w:val="1"/>
          <w:numId w:val="11"/>
        </w:numPr>
        <w:tabs>
          <w:tab w:val="num" w:pos="810"/>
        </w:tabs>
        <w:spacing w:line="360" w:lineRule="auto"/>
        <w:contextualSpacing w:val="0"/>
        <w:jc w:val="both"/>
        <w:outlineLvl w:val="1"/>
        <w:rPr>
          <w:rFonts w:eastAsia="MS Mincho"/>
          <w:b/>
          <w:lang w:eastAsia="en-US"/>
        </w:rPr>
      </w:pPr>
      <w:r w:rsidRPr="00652073">
        <w:rPr>
          <w:rFonts w:eastAsia="Times New Roman"/>
          <w:b/>
          <w:lang w:eastAsia="en-US"/>
        </w:rPr>
        <w:t xml:space="preserve">WILL THE GRID INVESTMENT PLAN IMPROVE RELIABILITY ISSUES RELATED TO VEGETATION? </w:t>
      </w:r>
    </w:p>
    <w:p w14:paraId="325EF163" w14:textId="77777777" w:rsidR="007E53A1" w:rsidRDefault="007E53A1" w:rsidP="00AB48A0">
      <w:pPr>
        <w:pStyle w:val="hang"/>
        <w:spacing w:after="0"/>
        <w:rPr>
          <w:szCs w:val="24"/>
        </w:rPr>
      </w:pPr>
      <w:r w:rsidRPr="00652073">
        <w:rPr>
          <w:szCs w:val="24"/>
        </w:rPr>
        <w:t>A.</w:t>
      </w:r>
      <w:r w:rsidRPr="00652073">
        <w:rPr>
          <w:szCs w:val="24"/>
        </w:rPr>
        <w:tab/>
        <w:t xml:space="preserve">Yes.  The Company’s </w:t>
      </w:r>
      <w:r w:rsidR="00010671">
        <w:rPr>
          <w:szCs w:val="24"/>
        </w:rPr>
        <w:t>v</w:t>
      </w:r>
      <w:r w:rsidR="00010671" w:rsidRPr="00652073">
        <w:rPr>
          <w:szCs w:val="24"/>
        </w:rPr>
        <w:t xml:space="preserve">egetation </w:t>
      </w:r>
      <w:r w:rsidR="00010671">
        <w:rPr>
          <w:szCs w:val="24"/>
        </w:rPr>
        <w:t>m</w:t>
      </w:r>
      <w:r w:rsidR="00010671" w:rsidRPr="00652073">
        <w:rPr>
          <w:szCs w:val="24"/>
        </w:rPr>
        <w:t xml:space="preserve">anagement </w:t>
      </w:r>
      <w:r w:rsidRPr="00652073">
        <w:rPr>
          <w:szCs w:val="24"/>
        </w:rPr>
        <w:t>program effectively manages conditions and threats that are on the right-of-way and in close proximity to Georgia Power-owned lines.  The majority of vegetation-related outages are initiated by weather and</w:t>
      </w:r>
      <w:r w:rsidR="00CA7902">
        <w:rPr>
          <w:szCs w:val="24"/>
        </w:rPr>
        <w:t xml:space="preserve"> fallen trees and limbs</w:t>
      </w:r>
      <w:r w:rsidRPr="00652073">
        <w:rPr>
          <w:szCs w:val="24"/>
        </w:rPr>
        <w:t xml:space="preserve"> coming from outside of the right-of-way, which are difficult for any program to control.</w:t>
      </w:r>
      <w:r w:rsidR="008F7AFC">
        <w:rPr>
          <w:szCs w:val="24"/>
        </w:rPr>
        <w:t xml:space="preserve"> </w:t>
      </w:r>
      <w:r w:rsidR="005A5BE8">
        <w:rPr>
          <w:szCs w:val="24"/>
        </w:rPr>
        <w:t xml:space="preserve"> </w:t>
      </w:r>
      <w:r w:rsidR="008F7AFC">
        <w:rPr>
          <w:szCs w:val="24"/>
        </w:rPr>
        <w:t>T</w:t>
      </w:r>
      <w:r w:rsidRPr="00652073">
        <w:rPr>
          <w:szCs w:val="24"/>
        </w:rPr>
        <w:t xml:space="preserve">he distribution projects included in the grid investment plan redesign select feeders to be more resistant to vegetation-related outages. </w:t>
      </w:r>
    </w:p>
    <w:p w14:paraId="7F5F2D11" w14:textId="77777777" w:rsidR="00F622E0" w:rsidRDefault="00F622E0" w:rsidP="00AB48A0">
      <w:pPr>
        <w:pStyle w:val="hang"/>
        <w:spacing w:after="0"/>
        <w:rPr>
          <w:szCs w:val="24"/>
        </w:rPr>
      </w:pPr>
    </w:p>
    <w:p w14:paraId="0150D7AC" w14:textId="2EBFE54C" w:rsidR="008D7214" w:rsidRPr="00FB6F63" w:rsidRDefault="008D7214" w:rsidP="008D7214">
      <w:pPr>
        <w:pStyle w:val="hang"/>
        <w:rPr>
          <w:rFonts w:eastAsia="MS Mincho"/>
          <w:b/>
          <w:szCs w:val="24"/>
        </w:rPr>
      </w:pPr>
      <w:bookmarkStart w:id="37" w:name="_Hlk11994038"/>
      <w:r w:rsidRPr="00FB6F63">
        <w:rPr>
          <w:rFonts w:eastAsia="MS Mincho"/>
          <w:b/>
          <w:szCs w:val="24"/>
        </w:rPr>
        <w:t xml:space="preserve">Q.  </w:t>
      </w:r>
      <w:r w:rsidRPr="00FB6F63">
        <w:rPr>
          <w:rFonts w:eastAsia="MS Mincho"/>
          <w:b/>
          <w:szCs w:val="24"/>
        </w:rPr>
        <w:tab/>
        <w:t xml:space="preserve">DOES THE </w:t>
      </w:r>
      <w:r>
        <w:rPr>
          <w:rFonts w:eastAsia="MS Mincho"/>
          <w:b/>
          <w:szCs w:val="24"/>
        </w:rPr>
        <w:t>DISTRIBUTION</w:t>
      </w:r>
      <w:r w:rsidRPr="00FB6F63">
        <w:rPr>
          <w:rFonts w:eastAsia="MS Mincho"/>
          <w:b/>
          <w:szCs w:val="24"/>
        </w:rPr>
        <w:t xml:space="preserve"> PLAN CONSIDER FACTORS OTHER THAN IMPROVING RELIABILITY ON THE IDENTIFIED UNDERPERFORMING FEEDERS? </w:t>
      </w:r>
    </w:p>
    <w:p w14:paraId="7F2A8D3E" w14:textId="75110C78" w:rsidR="002C6DC9" w:rsidRPr="002C6DC9" w:rsidRDefault="008D7214" w:rsidP="002C6DC9">
      <w:pPr>
        <w:pStyle w:val="hang"/>
        <w:spacing w:after="0"/>
        <w:rPr>
          <w:rFonts w:eastAsia="MS Mincho"/>
          <w:szCs w:val="24"/>
        </w:rPr>
      </w:pPr>
      <w:r w:rsidRPr="008D7214">
        <w:rPr>
          <w:rFonts w:eastAsia="MS Mincho"/>
          <w:szCs w:val="24"/>
        </w:rPr>
        <w:t>A.</w:t>
      </w:r>
      <w:r w:rsidR="00745D8F">
        <w:rPr>
          <w:rFonts w:eastAsia="MS Mincho"/>
          <w:szCs w:val="24"/>
        </w:rPr>
        <w:tab/>
      </w:r>
      <w:r w:rsidRPr="008D7214">
        <w:rPr>
          <w:rFonts w:eastAsia="MS Mincho"/>
          <w:szCs w:val="24"/>
        </w:rPr>
        <w:t>Yes.  The distribution plan balances the</w:t>
      </w:r>
      <w:r w:rsidR="003E5DF8">
        <w:rPr>
          <w:rFonts w:eastAsia="MS Mincho"/>
          <w:szCs w:val="24"/>
        </w:rPr>
        <w:t xml:space="preserve"> level of investment </w:t>
      </w:r>
      <w:r w:rsidRPr="008D7214">
        <w:rPr>
          <w:rFonts w:eastAsia="MS Mincho"/>
          <w:szCs w:val="24"/>
        </w:rPr>
        <w:t xml:space="preserve">with </w:t>
      </w:r>
      <w:r w:rsidRPr="00745D8F">
        <w:rPr>
          <w:rFonts w:eastAsia="MS Mincho"/>
          <w:szCs w:val="24"/>
        </w:rPr>
        <w:t>customer outage cost savings and reduced O&amp;M costs.</w:t>
      </w:r>
      <w:r w:rsidR="002C6DC9">
        <w:rPr>
          <w:rFonts w:eastAsia="MS Mincho"/>
          <w:szCs w:val="24"/>
        </w:rPr>
        <w:br w:type="page"/>
      </w:r>
    </w:p>
    <w:p w14:paraId="712A92C8" w14:textId="77777777" w:rsidR="00DB7C01" w:rsidRDefault="003E5DF8" w:rsidP="008D7214">
      <w:pPr>
        <w:pStyle w:val="hang"/>
        <w:spacing w:after="0"/>
        <w:rPr>
          <w:rFonts w:eastAsia="MS Mincho"/>
          <w:b/>
          <w:szCs w:val="24"/>
        </w:rPr>
      </w:pPr>
      <w:r>
        <w:rPr>
          <w:rFonts w:eastAsia="MS Mincho"/>
          <w:b/>
          <w:szCs w:val="24"/>
        </w:rPr>
        <w:lastRenderedPageBreak/>
        <w:t>Q.</w:t>
      </w:r>
      <w:r>
        <w:rPr>
          <w:rFonts w:eastAsia="MS Mincho"/>
          <w:b/>
          <w:szCs w:val="24"/>
        </w:rPr>
        <w:tab/>
        <w:t>HOW</w:t>
      </w:r>
      <w:r w:rsidR="00542F2D">
        <w:rPr>
          <w:rFonts w:eastAsia="MS Mincho"/>
          <w:b/>
          <w:szCs w:val="24"/>
        </w:rPr>
        <w:t xml:space="preserve"> DID THE COMPANY DETERMINE THE </w:t>
      </w:r>
      <w:r w:rsidR="004F7B23">
        <w:rPr>
          <w:rFonts w:eastAsia="MS Mincho"/>
          <w:b/>
          <w:szCs w:val="24"/>
        </w:rPr>
        <w:t xml:space="preserve">OPTIMAL </w:t>
      </w:r>
      <w:r w:rsidR="00542F2D">
        <w:rPr>
          <w:rFonts w:eastAsia="MS Mincho"/>
          <w:b/>
          <w:szCs w:val="24"/>
        </w:rPr>
        <w:t xml:space="preserve">LEVEL OF INVESTMENT FOR THE DISTRIBUTION PLAN?  </w:t>
      </w:r>
    </w:p>
    <w:p w14:paraId="67B62374" w14:textId="3E169E7B" w:rsidR="003E5DF8" w:rsidRPr="00C96A74" w:rsidRDefault="00DB7C01" w:rsidP="008D7214">
      <w:pPr>
        <w:pStyle w:val="hang"/>
        <w:spacing w:after="0"/>
        <w:rPr>
          <w:rFonts w:eastAsia="MS Mincho"/>
          <w:b/>
          <w:szCs w:val="24"/>
        </w:rPr>
      </w:pPr>
      <w:r>
        <w:rPr>
          <w:rFonts w:eastAsia="MS Mincho"/>
          <w:szCs w:val="24"/>
        </w:rPr>
        <w:t>A.</w:t>
      </w:r>
      <w:r>
        <w:rPr>
          <w:rFonts w:eastAsia="MS Mincho"/>
          <w:szCs w:val="24"/>
        </w:rPr>
        <w:tab/>
      </w:r>
      <w:r w:rsidR="00542F2D">
        <w:rPr>
          <w:rFonts w:eastAsia="MS Mincho"/>
          <w:szCs w:val="24"/>
        </w:rPr>
        <w:t>The</w:t>
      </w:r>
      <w:r w:rsidR="004F7B23">
        <w:rPr>
          <w:rFonts w:eastAsia="MS Mincho"/>
          <w:szCs w:val="24"/>
        </w:rPr>
        <w:t xml:space="preserve"> Company determined the optimal level of investment for the distribution plan by considering</w:t>
      </w:r>
      <w:r w:rsidR="00335153">
        <w:rPr>
          <w:rFonts w:eastAsia="MS Mincho"/>
          <w:szCs w:val="24"/>
        </w:rPr>
        <w:t xml:space="preserve"> three key factors</w:t>
      </w:r>
      <w:r w:rsidR="005A0BE8">
        <w:rPr>
          <w:rFonts w:eastAsia="MS Mincho"/>
          <w:szCs w:val="24"/>
        </w:rPr>
        <w:t xml:space="preserve">.  First, we looked at </w:t>
      </w:r>
      <w:r w:rsidR="00335153">
        <w:rPr>
          <w:rFonts w:eastAsia="MS Mincho"/>
          <w:szCs w:val="24"/>
        </w:rPr>
        <w:t xml:space="preserve">the reduction in </w:t>
      </w:r>
      <w:r w:rsidR="004F7B23">
        <w:rPr>
          <w:rFonts w:eastAsia="MS Mincho"/>
          <w:szCs w:val="24"/>
        </w:rPr>
        <w:t>economic cost to customers</w:t>
      </w:r>
      <w:r w:rsidR="00335153">
        <w:rPr>
          <w:rFonts w:eastAsia="MS Mincho"/>
          <w:szCs w:val="24"/>
        </w:rPr>
        <w:t xml:space="preserve"> from outages by making the investments</w:t>
      </w:r>
      <w:r w:rsidR="005A0BE8">
        <w:rPr>
          <w:rFonts w:eastAsia="MS Mincho"/>
          <w:szCs w:val="24"/>
        </w:rPr>
        <w:t xml:space="preserve">.  Secondly, we looked at </w:t>
      </w:r>
      <w:r w:rsidR="00335153">
        <w:rPr>
          <w:rFonts w:eastAsia="MS Mincho"/>
          <w:szCs w:val="24"/>
        </w:rPr>
        <w:t xml:space="preserve">the </w:t>
      </w:r>
      <w:r w:rsidR="004F7B23">
        <w:rPr>
          <w:rFonts w:eastAsia="MS Mincho"/>
          <w:szCs w:val="24"/>
        </w:rPr>
        <w:t>reductions in O&amp;M cost resulting from th</w:t>
      </w:r>
      <w:r w:rsidR="00335153">
        <w:rPr>
          <w:rFonts w:eastAsia="MS Mincho"/>
          <w:szCs w:val="24"/>
        </w:rPr>
        <w:t>e</w:t>
      </w:r>
      <w:r w:rsidR="004F7B23">
        <w:rPr>
          <w:rFonts w:eastAsia="MS Mincho"/>
          <w:szCs w:val="24"/>
        </w:rPr>
        <w:t xml:space="preserve"> investment</w:t>
      </w:r>
      <w:r w:rsidR="00335153">
        <w:rPr>
          <w:rFonts w:eastAsia="MS Mincho"/>
          <w:szCs w:val="24"/>
        </w:rPr>
        <w:t>s made</w:t>
      </w:r>
      <w:r w:rsidR="005A0BE8">
        <w:rPr>
          <w:rFonts w:eastAsia="MS Mincho"/>
          <w:szCs w:val="24"/>
        </w:rPr>
        <w:t xml:space="preserve">.  Finally, we looked at </w:t>
      </w:r>
      <w:r w:rsidR="004F7B23">
        <w:rPr>
          <w:rFonts w:eastAsia="MS Mincho"/>
          <w:szCs w:val="24"/>
        </w:rPr>
        <w:t xml:space="preserve">the </w:t>
      </w:r>
      <w:r w:rsidR="00335153">
        <w:rPr>
          <w:rFonts w:eastAsia="MS Mincho"/>
          <w:szCs w:val="24"/>
        </w:rPr>
        <w:t>revenue requirement associated with the investments.</w:t>
      </w:r>
      <w:r w:rsidR="005A0BE8">
        <w:rPr>
          <w:rFonts w:eastAsia="MS Mincho"/>
          <w:szCs w:val="24"/>
        </w:rPr>
        <w:t xml:space="preserve">  The result is that the</w:t>
      </w:r>
      <w:r w:rsidR="00335153">
        <w:rPr>
          <w:rFonts w:eastAsia="MS Mincho"/>
          <w:szCs w:val="24"/>
        </w:rPr>
        <w:t xml:space="preserve"> distribution plan proposed by the Company</w:t>
      </w:r>
      <w:r w:rsidR="005A0BE8">
        <w:rPr>
          <w:rFonts w:eastAsia="MS Mincho"/>
          <w:szCs w:val="24"/>
        </w:rPr>
        <w:t xml:space="preserve"> </w:t>
      </w:r>
      <w:r w:rsidR="00335153">
        <w:rPr>
          <w:rFonts w:eastAsia="MS Mincho"/>
          <w:szCs w:val="24"/>
        </w:rPr>
        <w:t xml:space="preserve">optimizes </w:t>
      </w:r>
      <w:r w:rsidR="005A0BE8">
        <w:rPr>
          <w:rFonts w:eastAsia="MS Mincho"/>
          <w:szCs w:val="24"/>
        </w:rPr>
        <w:t xml:space="preserve">the </w:t>
      </w:r>
      <w:r w:rsidR="00335153">
        <w:rPr>
          <w:rFonts w:eastAsia="MS Mincho"/>
          <w:szCs w:val="24"/>
        </w:rPr>
        <w:t xml:space="preserve">level of investment </w:t>
      </w:r>
      <w:r w:rsidR="000379EF">
        <w:rPr>
          <w:rFonts w:eastAsia="MS Mincho"/>
          <w:szCs w:val="24"/>
        </w:rPr>
        <w:t xml:space="preserve">utilizing these </w:t>
      </w:r>
      <w:r w:rsidR="00873685">
        <w:rPr>
          <w:rFonts w:eastAsia="MS Mincho"/>
          <w:szCs w:val="24"/>
        </w:rPr>
        <w:t xml:space="preserve">factors </w:t>
      </w:r>
      <w:r w:rsidR="000379EF">
        <w:rPr>
          <w:rFonts w:eastAsia="MS Mincho"/>
          <w:szCs w:val="24"/>
        </w:rPr>
        <w:t xml:space="preserve">and </w:t>
      </w:r>
      <w:r w:rsidR="00335153">
        <w:rPr>
          <w:rFonts w:eastAsia="MS Mincho"/>
          <w:szCs w:val="24"/>
        </w:rPr>
        <w:t xml:space="preserve">targeting </w:t>
      </w:r>
      <w:r w:rsidR="003461BE">
        <w:rPr>
          <w:rFonts w:eastAsia="MS Mincho"/>
          <w:szCs w:val="24"/>
        </w:rPr>
        <w:t>feeders</w:t>
      </w:r>
      <w:r w:rsidR="000379EF">
        <w:rPr>
          <w:rFonts w:eastAsia="MS Mincho"/>
          <w:szCs w:val="24"/>
        </w:rPr>
        <w:t xml:space="preserve"> that will produce the greatest </w:t>
      </w:r>
      <w:r w:rsidR="005A0BE8">
        <w:rPr>
          <w:rFonts w:eastAsia="MS Mincho"/>
          <w:szCs w:val="24"/>
        </w:rPr>
        <w:t>benefits for</w:t>
      </w:r>
      <w:r w:rsidR="00873685">
        <w:rPr>
          <w:rFonts w:eastAsia="MS Mincho"/>
          <w:szCs w:val="24"/>
        </w:rPr>
        <w:t xml:space="preserve"> our</w:t>
      </w:r>
      <w:r w:rsidR="005A0BE8">
        <w:rPr>
          <w:rFonts w:eastAsia="MS Mincho"/>
          <w:szCs w:val="24"/>
        </w:rPr>
        <w:t xml:space="preserve"> customers.  </w:t>
      </w:r>
    </w:p>
    <w:bookmarkEnd w:id="37"/>
    <w:p w14:paraId="4BBA910B" w14:textId="77777777" w:rsidR="008D7214" w:rsidRPr="00652073" w:rsidRDefault="008D7214" w:rsidP="008D7214">
      <w:pPr>
        <w:pStyle w:val="hang"/>
        <w:spacing w:after="0"/>
        <w:rPr>
          <w:rFonts w:eastAsia="MS Mincho"/>
          <w:szCs w:val="24"/>
        </w:rPr>
      </w:pPr>
    </w:p>
    <w:p w14:paraId="4F5B34E4" w14:textId="77777777" w:rsidR="007E53A1" w:rsidRDefault="007E53A1" w:rsidP="007E53A1">
      <w:pPr>
        <w:widowControl w:val="0"/>
        <w:numPr>
          <w:ilvl w:val="1"/>
          <w:numId w:val="0"/>
        </w:numPr>
        <w:spacing w:line="360" w:lineRule="auto"/>
        <w:jc w:val="both"/>
        <w:outlineLvl w:val="1"/>
        <w:rPr>
          <w:rFonts w:eastAsia="Times New Roman"/>
          <w:b/>
          <w:i/>
          <w:u w:val="single"/>
          <w:lang w:eastAsia="en-US"/>
        </w:rPr>
      </w:pPr>
      <w:r w:rsidRPr="00652073">
        <w:rPr>
          <w:rFonts w:eastAsia="Times New Roman"/>
          <w:b/>
          <w:i/>
          <w:u w:val="single"/>
          <w:lang w:eastAsia="en-US"/>
        </w:rPr>
        <w:t>Transmission Plan</w:t>
      </w:r>
    </w:p>
    <w:p w14:paraId="7908E18C" w14:textId="77777777" w:rsidR="00FF1E72" w:rsidRPr="00652073" w:rsidRDefault="00FF1E72" w:rsidP="007E53A1">
      <w:pPr>
        <w:widowControl w:val="0"/>
        <w:numPr>
          <w:ilvl w:val="1"/>
          <w:numId w:val="0"/>
        </w:numPr>
        <w:spacing w:line="360" w:lineRule="auto"/>
        <w:jc w:val="both"/>
        <w:outlineLvl w:val="1"/>
        <w:rPr>
          <w:rFonts w:eastAsia="Times New Roman"/>
          <w:b/>
          <w:i/>
          <w:u w:val="single"/>
          <w:lang w:eastAsia="en-US"/>
        </w:rPr>
      </w:pPr>
    </w:p>
    <w:p w14:paraId="64C1A614" w14:textId="77777777" w:rsidR="007E53A1" w:rsidRPr="00652073" w:rsidRDefault="007E53A1" w:rsidP="00623F66">
      <w:pPr>
        <w:pStyle w:val="StandardL2"/>
        <w:widowControl w:val="0"/>
        <w:numPr>
          <w:ilvl w:val="1"/>
          <w:numId w:val="12"/>
        </w:numPr>
        <w:jc w:val="both"/>
        <w:rPr>
          <w:szCs w:val="24"/>
        </w:rPr>
      </w:pPr>
      <w:r w:rsidRPr="00652073">
        <w:rPr>
          <w:rFonts w:eastAsia="Times New Roman"/>
          <w:szCs w:val="24"/>
        </w:rPr>
        <w:t xml:space="preserve">HOW DOES THE COMPANY MEASURE TRANSMISSION SYSTEM PERFORMANCE? </w:t>
      </w:r>
    </w:p>
    <w:p w14:paraId="740D2E98" w14:textId="77777777" w:rsidR="007E53A1" w:rsidRDefault="007E53A1" w:rsidP="00743B3E">
      <w:pPr>
        <w:pStyle w:val="hang"/>
        <w:spacing w:after="0"/>
        <w:rPr>
          <w:szCs w:val="24"/>
        </w:rPr>
      </w:pPr>
      <w:r w:rsidRPr="00652073">
        <w:rPr>
          <w:szCs w:val="24"/>
        </w:rPr>
        <w:t>A.</w:t>
      </w:r>
      <w:r w:rsidRPr="00652073">
        <w:rPr>
          <w:szCs w:val="24"/>
        </w:rPr>
        <w:tab/>
        <w:t>Similar, to distribution, the Company relies on SAIDI and SAIFI metrics to measure the effectiveness of transmission operations.</w:t>
      </w:r>
      <w:r w:rsidR="00743B3E">
        <w:rPr>
          <w:szCs w:val="24"/>
        </w:rPr>
        <w:t xml:space="preserve">  </w:t>
      </w:r>
      <w:r w:rsidR="0021474E">
        <w:rPr>
          <w:szCs w:val="24"/>
        </w:rPr>
        <w:t>Furthermore</w:t>
      </w:r>
      <w:r w:rsidRPr="00652073">
        <w:rPr>
          <w:szCs w:val="24"/>
        </w:rPr>
        <w:t xml:space="preserve">, the Company assesses infrastructure performance on an ongoing basis.  </w:t>
      </w:r>
    </w:p>
    <w:p w14:paraId="38C17B8C" w14:textId="77777777" w:rsidR="00010671" w:rsidRPr="00652073" w:rsidRDefault="00010671" w:rsidP="0021474E">
      <w:pPr>
        <w:pStyle w:val="hang"/>
        <w:spacing w:after="0"/>
        <w:rPr>
          <w:rFonts w:eastAsia="MS Mincho"/>
          <w:szCs w:val="24"/>
        </w:rPr>
      </w:pPr>
    </w:p>
    <w:p w14:paraId="71AD8D49" w14:textId="77777777" w:rsidR="007E53A1" w:rsidRPr="00652073" w:rsidRDefault="007E53A1" w:rsidP="00C96A74">
      <w:pPr>
        <w:pStyle w:val="ListParagraph"/>
        <w:numPr>
          <w:ilvl w:val="1"/>
          <w:numId w:val="12"/>
        </w:numPr>
        <w:tabs>
          <w:tab w:val="num" w:pos="810"/>
        </w:tabs>
        <w:spacing w:line="360" w:lineRule="auto"/>
        <w:contextualSpacing w:val="0"/>
        <w:jc w:val="both"/>
        <w:outlineLvl w:val="1"/>
        <w:rPr>
          <w:rFonts w:eastAsia="MS Mincho"/>
          <w:b/>
          <w:lang w:eastAsia="en-US"/>
        </w:rPr>
      </w:pPr>
      <w:r w:rsidRPr="00652073">
        <w:rPr>
          <w:rFonts w:eastAsia="Times New Roman"/>
          <w:b/>
          <w:lang w:eastAsia="en-US"/>
        </w:rPr>
        <w:t xml:space="preserve">HOW HAS </w:t>
      </w:r>
      <w:r w:rsidR="0021474E">
        <w:rPr>
          <w:rFonts w:eastAsia="Times New Roman"/>
          <w:b/>
          <w:lang w:eastAsia="en-US"/>
        </w:rPr>
        <w:t>GEORGIA POWER’S</w:t>
      </w:r>
      <w:r w:rsidRPr="00652073">
        <w:rPr>
          <w:rFonts w:eastAsia="Times New Roman"/>
          <w:b/>
          <w:lang w:eastAsia="en-US"/>
        </w:rPr>
        <w:t xml:space="preserve"> TRANSMISSION SYSTEM PERFORMED UNDER THESE METRICS? </w:t>
      </w:r>
    </w:p>
    <w:p w14:paraId="2A122B26" w14:textId="77777777" w:rsidR="007E53A1" w:rsidRPr="00652073" w:rsidRDefault="007E53A1" w:rsidP="007E53A1">
      <w:pPr>
        <w:pStyle w:val="hang"/>
        <w:rPr>
          <w:szCs w:val="24"/>
        </w:rPr>
      </w:pPr>
      <w:r w:rsidRPr="00652073">
        <w:rPr>
          <w:szCs w:val="24"/>
        </w:rPr>
        <w:t>A.</w:t>
      </w:r>
      <w:r w:rsidRPr="00652073">
        <w:rPr>
          <w:szCs w:val="24"/>
        </w:rPr>
        <w:tab/>
      </w:r>
      <w:r w:rsidR="00700E56" w:rsidRPr="00652073">
        <w:rPr>
          <w:szCs w:val="24"/>
        </w:rPr>
        <w:t xml:space="preserve">Georgia Power’s expertise in maintaining assets and equipment, careful prioritization of resources, strategic use of proactive maintenance programs and networked design of the transmission system have allowed it to </w:t>
      </w:r>
      <w:r w:rsidR="00700E56">
        <w:rPr>
          <w:szCs w:val="24"/>
        </w:rPr>
        <w:t>improve transmission</w:t>
      </w:r>
      <w:r w:rsidR="00700E56" w:rsidRPr="00652073">
        <w:rPr>
          <w:szCs w:val="24"/>
        </w:rPr>
        <w:t xml:space="preserve"> system reliability and performance. </w:t>
      </w:r>
      <w:r w:rsidR="00126993">
        <w:rPr>
          <w:szCs w:val="24"/>
        </w:rPr>
        <w:t xml:space="preserve"> </w:t>
      </w:r>
      <w:r w:rsidR="00700E56" w:rsidRPr="00652073">
        <w:rPr>
          <w:szCs w:val="24"/>
        </w:rPr>
        <w:t xml:space="preserve">However, Georgia Power must make strategic investments to ensure that it can continue providing cost-effective and reliable service going forward.  </w:t>
      </w:r>
    </w:p>
    <w:p w14:paraId="160E0D93" w14:textId="77777777" w:rsidR="00982593" w:rsidRPr="00652073" w:rsidRDefault="00010671" w:rsidP="008837CD">
      <w:pPr>
        <w:spacing w:line="360" w:lineRule="auto"/>
        <w:ind w:left="720" w:hanging="720"/>
        <w:jc w:val="both"/>
        <w:rPr>
          <w:rFonts w:eastAsia="MS Mincho"/>
          <w:lang w:eastAsia="en-US"/>
        </w:rPr>
      </w:pPr>
      <w:r>
        <w:rPr>
          <w:b/>
          <w:lang w:eastAsia="en-US"/>
        </w:rPr>
        <w:t>Q.</w:t>
      </w:r>
      <w:r>
        <w:rPr>
          <w:b/>
          <w:lang w:eastAsia="en-US"/>
        </w:rPr>
        <w:tab/>
      </w:r>
      <w:r w:rsidR="007E53A1" w:rsidRPr="008837CD">
        <w:rPr>
          <w:b/>
          <w:lang w:eastAsia="en-US"/>
        </w:rPr>
        <w:t xml:space="preserve">WHAT IS THE PRIMARY GOAL OF THE TRANSMISSION PROJECTS INCLUDED IN THE GRID INVESTMENT PLAN? </w:t>
      </w:r>
    </w:p>
    <w:p w14:paraId="342B7FCB" w14:textId="77777777" w:rsidR="00821CBC" w:rsidRPr="008837CD" w:rsidRDefault="007E53A1" w:rsidP="00623F66">
      <w:pPr>
        <w:pStyle w:val="ListParagraph"/>
        <w:widowControl w:val="0"/>
        <w:numPr>
          <w:ilvl w:val="2"/>
          <w:numId w:val="12"/>
        </w:numPr>
        <w:spacing w:line="360" w:lineRule="auto"/>
        <w:contextualSpacing w:val="0"/>
        <w:jc w:val="both"/>
      </w:pPr>
      <w:r w:rsidRPr="008837CD">
        <w:rPr>
          <w:rFonts w:eastAsia="Times New Roman"/>
          <w:lang w:eastAsia="en-US"/>
        </w:rPr>
        <w:t xml:space="preserve">The transmission investments focus exclusively on mitigating the risk of outages associated </w:t>
      </w:r>
      <w:r w:rsidRPr="008837CD">
        <w:rPr>
          <w:rFonts w:eastAsia="Times New Roman"/>
          <w:lang w:eastAsia="en-US"/>
        </w:rPr>
        <w:lastRenderedPageBreak/>
        <w:t xml:space="preserve">with aging assets and infrastructure.  A significant portion of the Company’s transmission assets are approaching or have exceeded their </w:t>
      </w:r>
      <w:r w:rsidR="00C970E8">
        <w:rPr>
          <w:rFonts w:eastAsia="Times New Roman"/>
          <w:lang w:eastAsia="en-US"/>
        </w:rPr>
        <w:t>expected</w:t>
      </w:r>
      <w:r w:rsidRPr="008837CD">
        <w:rPr>
          <w:rFonts w:eastAsia="Times New Roman"/>
          <w:lang w:eastAsia="en-US"/>
        </w:rPr>
        <w:t xml:space="preserve"> lives.</w:t>
      </w:r>
      <w:r w:rsidR="00126993">
        <w:rPr>
          <w:rFonts w:eastAsia="Times New Roman"/>
          <w:lang w:eastAsia="en-US"/>
        </w:rPr>
        <w:t xml:space="preserve"> </w:t>
      </w:r>
      <w:r w:rsidR="0035098C" w:rsidRPr="008837CD">
        <w:rPr>
          <w:rFonts w:eastAsia="Times New Roman"/>
          <w:lang w:eastAsia="en-US"/>
        </w:rPr>
        <w:t xml:space="preserve"> Currently, 46% of substation transformers are past the industry </w:t>
      </w:r>
      <w:r w:rsidR="00345602">
        <w:rPr>
          <w:rFonts w:eastAsia="Times New Roman"/>
          <w:lang w:eastAsia="en-US"/>
        </w:rPr>
        <w:t>expected</w:t>
      </w:r>
      <w:r w:rsidR="0035098C" w:rsidRPr="008837CD">
        <w:rPr>
          <w:rFonts w:eastAsia="Times New Roman"/>
          <w:lang w:eastAsia="en-US"/>
        </w:rPr>
        <w:t xml:space="preserve"> life and without this program, 60% of substation transformers on the system would be past their </w:t>
      </w:r>
      <w:r w:rsidR="00C970E8">
        <w:rPr>
          <w:rFonts w:eastAsia="Times New Roman"/>
          <w:lang w:eastAsia="en-US"/>
        </w:rPr>
        <w:t>expected</w:t>
      </w:r>
      <w:r w:rsidR="0035098C" w:rsidRPr="008837CD">
        <w:rPr>
          <w:rFonts w:eastAsia="Times New Roman"/>
          <w:lang w:eastAsia="en-US"/>
        </w:rPr>
        <w:t xml:space="preserve"> life by the end of the </w:t>
      </w:r>
      <w:r w:rsidR="00A66752">
        <w:rPr>
          <w:rFonts w:eastAsia="Times New Roman"/>
          <w:lang w:eastAsia="en-US"/>
        </w:rPr>
        <w:t>g</w:t>
      </w:r>
      <w:r w:rsidR="0035098C" w:rsidRPr="008837CD">
        <w:rPr>
          <w:rFonts w:eastAsia="Times New Roman"/>
          <w:lang w:eastAsia="en-US"/>
        </w:rPr>
        <w:t xml:space="preserve">rid </w:t>
      </w:r>
      <w:r w:rsidR="00A66752">
        <w:rPr>
          <w:rFonts w:eastAsia="Times New Roman"/>
          <w:lang w:eastAsia="en-US"/>
        </w:rPr>
        <w:t>i</w:t>
      </w:r>
      <w:r w:rsidR="0035098C" w:rsidRPr="008837CD">
        <w:rPr>
          <w:rFonts w:eastAsia="Times New Roman"/>
          <w:lang w:eastAsia="en-US"/>
        </w:rPr>
        <w:t xml:space="preserve">nvestment </w:t>
      </w:r>
      <w:r w:rsidR="00A66752">
        <w:rPr>
          <w:rFonts w:eastAsia="Times New Roman"/>
          <w:lang w:eastAsia="en-US"/>
        </w:rPr>
        <w:t>p</w:t>
      </w:r>
      <w:r w:rsidR="0035098C" w:rsidRPr="008837CD">
        <w:rPr>
          <w:rFonts w:eastAsia="Times New Roman"/>
          <w:lang w:eastAsia="en-US"/>
        </w:rPr>
        <w:t xml:space="preserve">lan in 2031.  Similarly, 24% of voltage regulators are currently past the industry </w:t>
      </w:r>
      <w:r w:rsidR="00C970E8">
        <w:rPr>
          <w:rFonts w:eastAsia="Times New Roman"/>
          <w:lang w:eastAsia="en-US"/>
        </w:rPr>
        <w:t>expected</w:t>
      </w:r>
      <w:r w:rsidR="0035098C" w:rsidRPr="008837CD">
        <w:rPr>
          <w:rFonts w:eastAsia="Times New Roman"/>
          <w:lang w:eastAsia="en-US"/>
        </w:rPr>
        <w:t xml:space="preserve"> life and 72% will be past their </w:t>
      </w:r>
      <w:r w:rsidR="00C970E8">
        <w:rPr>
          <w:rFonts w:eastAsia="Times New Roman"/>
          <w:lang w:eastAsia="en-US"/>
        </w:rPr>
        <w:t>expected</w:t>
      </w:r>
      <w:r w:rsidR="0035098C" w:rsidRPr="008837CD">
        <w:rPr>
          <w:rFonts w:eastAsia="Times New Roman"/>
          <w:lang w:eastAsia="en-US"/>
        </w:rPr>
        <w:t xml:space="preserve"> life by 2031.</w:t>
      </w:r>
      <w:r w:rsidR="00821CBC" w:rsidRPr="008837CD">
        <w:rPr>
          <w:rFonts w:eastAsia="Times New Roman"/>
          <w:lang w:eastAsia="en-US"/>
        </w:rPr>
        <w:t xml:space="preserve">  For substation breakers, 28% are currently past their industry </w:t>
      </w:r>
      <w:r w:rsidR="00345602">
        <w:rPr>
          <w:rFonts w:eastAsia="Times New Roman"/>
          <w:lang w:eastAsia="en-US"/>
        </w:rPr>
        <w:t>expected</w:t>
      </w:r>
      <w:r w:rsidR="00821CBC" w:rsidRPr="008837CD">
        <w:rPr>
          <w:rFonts w:eastAsia="Times New Roman"/>
          <w:lang w:eastAsia="en-US"/>
        </w:rPr>
        <w:t xml:space="preserve"> life and 41% will be past their </w:t>
      </w:r>
      <w:r w:rsidR="00C970E8">
        <w:rPr>
          <w:rFonts w:eastAsia="Times New Roman"/>
          <w:lang w:eastAsia="en-US"/>
        </w:rPr>
        <w:t>expected</w:t>
      </w:r>
      <w:r w:rsidR="00C970E8" w:rsidRPr="008837CD">
        <w:rPr>
          <w:rFonts w:eastAsia="Times New Roman"/>
          <w:lang w:eastAsia="en-US"/>
        </w:rPr>
        <w:t xml:space="preserve"> </w:t>
      </w:r>
      <w:r w:rsidR="00821CBC" w:rsidRPr="008837CD">
        <w:rPr>
          <w:rFonts w:eastAsia="Times New Roman"/>
          <w:lang w:eastAsia="en-US"/>
        </w:rPr>
        <w:t>lives b</w:t>
      </w:r>
      <w:r w:rsidR="0021474E">
        <w:rPr>
          <w:rFonts w:eastAsia="Times New Roman"/>
          <w:lang w:eastAsia="en-US"/>
        </w:rPr>
        <w:t>y</w:t>
      </w:r>
      <w:r w:rsidR="00821CBC" w:rsidRPr="008837CD">
        <w:rPr>
          <w:rFonts w:eastAsia="Times New Roman"/>
          <w:lang w:eastAsia="en-US"/>
        </w:rPr>
        <w:t xml:space="preserve"> 2031. </w:t>
      </w:r>
    </w:p>
    <w:p w14:paraId="03D25BDA" w14:textId="77777777" w:rsidR="00010671" w:rsidRPr="00126993" w:rsidRDefault="00010671" w:rsidP="008837CD">
      <w:pPr>
        <w:pStyle w:val="ListParagraph"/>
        <w:widowControl w:val="0"/>
        <w:spacing w:line="360" w:lineRule="auto"/>
        <w:contextualSpacing w:val="0"/>
      </w:pPr>
    </w:p>
    <w:p w14:paraId="381A6A26" w14:textId="77777777" w:rsidR="007E53A1" w:rsidRPr="00652073" w:rsidRDefault="00821CBC" w:rsidP="008837CD">
      <w:pPr>
        <w:widowControl w:val="0"/>
        <w:numPr>
          <w:ilvl w:val="1"/>
          <w:numId w:val="0"/>
        </w:numPr>
        <w:tabs>
          <w:tab w:val="num" w:pos="810"/>
        </w:tabs>
        <w:spacing w:line="360" w:lineRule="auto"/>
        <w:ind w:left="720" w:hanging="720"/>
        <w:jc w:val="both"/>
        <w:outlineLvl w:val="1"/>
        <w:rPr>
          <w:b/>
        </w:rPr>
      </w:pPr>
      <w:r>
        <w:rPr>
          <w:rFonts w:eastAsia="Times New Roman"/>
          <w:b/>
          <w:lang w:eastAsia="en-US"/>
        </w:rPr>
        <w:t>Q.</w:t>
      </w:r>
      <w:r>
        <w:rPr>
          <w:rFonts w:eastAsia="Times New Roman"/>
          <w:b/>
          <w:lang w:eastAsia="en-US"/>
        </w:rPr>
        <w:tab/>
      </w:r>
      <w:r w:rsidR="007E53A1" w:rsidRPr="00652073">
        <w:rPr>
          <w:rFonts w:eastAsia="Times New Roman"/>
          <w:b/>
          <w:lang w:eastAsia="en-US"/>
        </w:rPr>
        <w:t>PLEASE EXPLAIN HOW THE COMPANY SELECTED TRANSMISSION INVESTMENTS</w:t>
      </w:r>
      <w:r w:rsidR="005227D8">
        <w:rPr>
          <w:rFonts w:eastAsia="Times New Roman"/>
          <w:b/>
          <w:lang w:eastAsia="en-US"/>
        </w:rPr>
        <w:t>.</w:t>
      </w:r>
    </w:p>
    <w:p w14:paraId="6867173B" w14:textId="77777777" w:rsidR="007E53A1" w:rsidRDefault="007E53A1" w:rsidP="00AB48A0">
      <w:pPr>
        <w:pStyle w:val="hang"/>
        <w:spacing w:after="0"/>
        <w:rPr>
          <w:szCs w:val="24"/>
        </w:rPr>
      </w:pPr>
      <w:r w:rsidRPr="00652073">
        <w:rPr>
          <w:szCs w:val="24"/>
        </w:rPr>
        <w:t>A.</w:t>
      </w:r>
      <w:r w:rsidRPr="00652073">
        <w:rPr>
          <w:szCs w:val="24"/>
        </w:rPr>
        <w:tab/>
      </w:r>
      <w:r w:rsidR="008B0FDD" w:rsidRPr="007921DA">
        <w:t>Exhibit</w:t>
      </w:r>
      <w:r w:rsidR="007921DA">
        <w:t xml:space="preserve"> </w:t>
      </w:r>
      <w:r w:rsidR="008B0FDD" w:rsidRPr="007921DA">
        <w:t>(</w:t>
      </w:r>
      <w:r w:rsidR="008B0FDD">
        <w:t>DPP/SPA/MBR</w:t>
      </w:r>
      <w:r w:rsidR="008B0FDD" w:rsidRPr="005F19CB">
        <w:t>-</w:t>
      </w:r>
      <w:r w:rsidR="00AA4CBD">
        <w:t>8</w:t>
      </w:r>
      <w:r w:rsidR="008B0FDD" w:rsidRPr="005F19CB">
        <w:t>)</w:t>
      </w:r>
      <w:r w:rsidRPr="00652073">
        <w:rPr>
          <w:szCs w:val="24"/>
        </w:rPr>
        <w:t xml:space="preserve"> </w:t>
      </w:r>
      <w:r w:rsidR="00FB034C">
        <w:rPr>
          <w:szCs w:val="24"/>
        </w:rPr>
        <w:t>contains</w:t>
      </w:r>
      <w:r w:rsidR="00FB034C" w:rsidRPr="00652073">
        <w:rPr>
          <w:szCs w:val="24"/>
        </w:rPr>
        <w:t xml:space="preserve"> </w:t>
      </w:r>
      <w:r w:rsidRPr="00652073">
        <w:rPr>
          <w:szCs w:val="24"/>
        </w:rPr>
        <w:t xml:space="preserve">detailed information regarding </w:t>
      </w:r>
      <w:r w:rsidR="008B0FDD">
        <w:rPr>
          <w:szCs w:val="24"/>
        </w:rPr>
        <w:t xml:space="preserve">transmission </w:t>
      </w:r>
      <w:r w:rsidRPr="00652073">
        <w:rPr>
          <w:szCs w:val="24"/>
        </w:rPr>
        <w:t>investment package descriptions</w:t>
      </w:r>
      <w:r w:rsidR="00915229">
        <w:rPr>
          <w:szCs w:val="24"/>
        </w:rPr>
        <w:t xml:space="preserve">. </w:t>
      </w:r>
      <w:r w:rsidRPr="00652073">
        <w:rPr>
          <w:szCs w:val="24"/>
        </w:rPr>
        <w:t xml:space="preserve">For both </w:t>
      </w:r>
      <w:r w:rsidR="00126993">
        <w:rPr>
          <w:szCs w:val="24"/>
        </w:rPr>
        <w:t>t</w:t>
      </w:r>
      <w:r w:rsidR="00126993" w:rsidRPr="00652073">
        <w:rPr>
          <w:szCs w:val="24"/>
        </w:rPr>
        <w:t xml:space="preserve">ransmission </w:t>
      </w:r>
      <w:r w:rsidRPr="00652073">
        <w:rPr>
          <w:szCs w:val="24"/>
        </w:rPr>
        <w:t>lines and T&amp;D substations, the Company used asset age to develop the transmission system investments.</w:t>
      </w:r>
    </w:p>
    <w:p w14:paraId="55F3340F" w14:textId="77777777" w:rsidR="00010671" w:rsidRPr="00652073" w:rsidRDefault="00010671" w:rsidP="008837CD">
      <w:pPr>
        <w:pStyle w:val="hang"/>
        <w:spacing w:after="0"/>
        <w:rPr>
          <w:b/>
          <w:szCs w:val="24"/>
        </w:rPr>
      </w:pPr>
    </w:p>
    <w:p w14:paraId="6E21066D" w14:textId="77777777" w:rsidR="007E53A1" w:rsidRPr="00652073" w:rsidRDefault="007E53A1" w:rsidP="007E53A1">
      <w:pPr>
        <w:widowControl w:val="0"/>
        <w:numPr>
          <w:ilvl w:val="1"/>
          <w:numId w:val="0"/>
        </w:numPr>
        <w:tabs>
          <w:tab w:val="num" w:pos="810"/>
        </w:tabs>
        <w:spacing w:line="360" w:lineRule="auto"/>
        <w:ind w:left="720" w:hanging="720"/>
        <w:jc w:val="both"/>
        <w:outlineLvl w:val="1"/>
        <w:rPr>
          <w:rFonts w:eastAsia="Times New Roman"/>
          <w:b/>
          <w:lang w:eastAsia="en-US"/>
        </w:rPr>
      </w:pPr>
      <w:r w:rsidRPr="00652073">
        <w:rPr>
          <w:rFonts w:eastAsia="Times New Roman"/>
          <w:b/>
          <w:lang w:eastAsia="en-US"/>
        </w:rPr>
        <w:t>Q.</w:t>
      </w:r>
      <w:r w:rsidRPr="00652073">
        <w:rPr>
          <w:rFonts w:eastAsia="Times New Roman"/>
          <w:b/>
          <w:lang w:eastAsia="en-US"/>
        </w:rPr>
        <w:tab/>
        <w:t xml:space="preserve">HOW MANY TRANSMISSION SUBSTATIONS AND TRANSMISSION MILES DID THE COMPANY SELECT FOR ADDITIONAL INVESTMENT? </w:t>
      </w:r>
    </w:p>
    <w:p w14:paraId="040081C8" w14:textId="77777777" w:rsidR="007E53A1" w:rsidRDefault="007E53A1" w:rsidP="00AB48A0">
      <w:pPr>
        <w:pStyle w:val="hang"/>
        <w:spacing w:after="0"/>
        <w:rPr>
          <w:szCs w:val="24"/>
        </w:rPr>
      </w:pPr>
      <w:r w:rsidRPr="00652073">
        <w:rPr>
          <w:szCs w:val="24"/>
        </w:rPr>
        <w:t>A.</w:t>
      </w:r>
      <w:r w:rsidRPr="00652073">
        <w:rPr>
          <w:szCs w:val="24"/>
        </w:rPr>
        <w:tab/>
        <w:t xml:space="preserve">The Company identified approximately </w:t>
      </w:r>
      <w:r w:rsidRPr="001E44D2">
        <w:rPr>
          <w:szCs w:val="24"/>
        </w:rPr>
        <w:t xml:space="preserve">380 </w:t>
      </w:r>
      <w:r w:rsidRPr="00652073">
        <w:rPr>
          <w:szCs w:val="24"/>
        </w:rPr>
        <w:t>substations for investment</w:t>
      </w:r>
      <w:r w:rsidR="00126993">
        <w:rPr>
          <w:szCs w:val="24"/>
        </w:rPr>
        <w:t>,</w:t>
      </w:r>
      <w:r w:rsidRPr="00652073">
        <w:rPr>
          <w:szCs w:val="24"/>
        </w:rPr>
        <w:t xml:space="preserve"> which represents approximately 20% of the total Georgia Power-owned substations.  These substations have the oldest equipment and the highest risk of causing future outages.  The Company will invest in approximately </w:t>
      </w:r>
      <w:r w:rsidRPr="001E44D2">
        <w:rPr>
          <w:szCs w:val="24"/>
        </w:rPr>
        <w:t>1,050</w:t>
      </w:r>
      <w:r w:rsidRPr="00652073">
        <w:rPr>
          <w:szCs w:val="24"/>
        </w:rPr>
        <w:t xml:space="preserve"> transmission line miles</w:t>
      </w:r>
      <w:r w:rsidR="00126993">
        <w:rPr>
          <w:szCs w:val="24"/>
        </w:rPr>
        <w:t>,</w:t>
      </w:r>
      <w:r w:rsidRPr="00652073">
        <w:rPr>
          <w:szCs w:val="24"/>
        </w:rPr>
        <w:t xml:space="preserve"> which represents approximately 8% of the total Georgia Power-owned lines.  These represent the oldest transmission lines with conductor in the poorest condition.</w:t>
      </w:r>
      <w:r w:rsidRPr="00652073">
        <w:rPr>
          <w:szCs w:val="24"/>
        </w:rPr>
        <w:tab/>
      </w:r>
    </w:p>
    <w:p w14:paraId="227F84A3" w14:textId="77777777" w:rsidR="00010671" w:rsidRPr="00652073" w:rsidRDefault="00010671" w:rsidP="008837CD">
      <w:pPr>
        <w:pStyle w:val="hang"/>
        <w:spacing w:after="0"/>
        <w:rPr>
          <w:szCs w:val="24"/>
        </w:rPr>
      </w:pPr>
    </w:p>
    <w:p w14:paraId="111036C9" w14:textId="77777777" w:rsidR="007E53A1" w:rsidRPr="00652073" w:rsidRDefault="007E53A1" w:rsidP="008837CD">
      <w:pPr>
        <w:numPr>
          <w:ilvl w:val="1"/>
          <w:numId w:val="0"/>
        </w:numPr>
        <w:tabs>
          <w:tab w:val="num" w:pos="720"/>
        </w:tabs>
        <w:spacing w:line="360" w:lineRule="auto"/>
        <w:ind w:left="720" w:hanging="634"/>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r>
      <w:r w:rsidR="00700E56" w:rsidRPr="00700E56">
        <w:rPr>
          <w:rFonts w:eastAsia="Times New Roman"/>
          <w:b/>
          <w:lang w:eastAsia="en-US"/>
        </w:rPr>
        <w:t>YOU MENTIONED THAT GEORGIA POWER HAS IMPROVED TRANSMISSION SYSTEM RELIABILITY AND PERFORMANCE THROUGH ITS EXPERTISE IN MAINTAINING ASSETS AND EQUIPMENT.  PLEASE</w:t>
      </w:r>
      <w:r w:rsidR="00010671">
        <w:rPr>
          <w:rFonts w:eastAsia="Times New Roman"/>
          <w:b/>
          <w:lang w:eastAsia="en-US"/>
        </w:rPr>
        <w:t xml:space="preserve"> </w:t>
      </w:r>
      <w:r w:rsidR="00700E56" w:rsidRPr="00700E56">
        <w:rPr>
          <w:rFonts w:eastAsia="Times New Roman"/>
          <w:b/>
          <w:lang w:eastAsia="en-US"/>
        </w:rPr>
        <w:t>EXPLAIN</w:t>
      </w:r>
      <w:r w:rsidRPr="00652073">
        <w:rPr>
          <w:rFonts w:eastAsia="Times New Roman"/>
          <w:b/>
          <w:lang w:eastAsia="en-US"/>
        </w:rPr>
        <w:t xml:space="preserve">.  </w:t>
      </w:r>
    </w:p>
    <w:p w14:paraId="36128121" w14:textId="77777777" w:rsidR="007E53A1" w:rsidRDefault="007E53A1" w:rsidP="00AB48A0">
      <w:pPr>
        <w:pStyle w:val="hang"/>
        <w:spacing w:after="0"/>
        <w:rPr>
          <w:szCs w:val="24"/>
        </w:rPr>
      </w:pPr>
      <w:r w:rsidRPr="00652073">
        <w:rPr>
          <w:szCs w:val="24"/>
        </w:rPr>
        <w:t>A.</w:t>
      </w:r>
      <w:r w:rsidRPr="00652073">
        <w:rPr>
          <w:szCs w:val="24"/>
        </w:rPr>
        <w:tab/>
        <w:t xml:space="preserve">In many cases, the Company has extended the service lives of assets and equipment well </w:t>
      </w:r>
      <w:r w:rsidRPr="00652073">
        <w:rPr>
          <w:szCs w:val="24"/>
        </w:rPr>
        <w:lastRenderedPageBreak/>
        <w:t xml:space="preserve">beyond their industry standard </w:t>
      </w:r>
      <w:r w:rsidR="00C970E8">
        <w:t>expected</w:t>
      </w:r>
      <w:r w:rsidRPr="00652073">
        <w:rPr>
          <w:szCs w:val="24"/>
        </w:rPr>
        <w:t xml:space="preserve"> lives.  Accordingly, the Company has begun increasing capital maintenance and reliability programs to replace aging infrastructure over the past decade.  Programs such as the Overhead Ground Wire Replacement Program and the End of Life Transformer Replacement Program represent efforts to replace assets that were predicted to fail.  These programs are designed to reduce reliability problems from equipment failure by using a statewide approach to identify the highest priority replacements.  Even with the increase in spending, only a very small percentage of the assets in service are being replaced in any given year </w:t>
      </w:r>
      <w:r w:rsidR="0021474E">
        <w:rPr>
          <w:szCs w:val="24"/>
        </w:rPr>
        <w:t>as a result of</w:t>
      </w:r>
      <w:r w:rsidRPr="00652073">
        <w:rPr>
          <w:szCs w:val="24"/>
        </w:rPr>
        <w:t xml:space="preserve"> these programs.</w:t>
      </w:r>
    </w:p>
    <w:p w14:paraId="7EF0AD18" w14:textId="77777777" w:rsidR="00010671" w:rsidRPr="00652073" w:rsidRDefault="00010671" w:rsidP="008837CD">
      <w:pPr>
        <w:pStyle w:val="hang"/>
        <w:spacing w:after="0"/>
        <w:rPr>
          <w:szCs w:val="24"/>
        </w:rPr>
      </w:pPr>
    </w:p>
    <w:p w14:paraId="722D7750" w14:textId="77777777" w:rsidR="007E53A1" w:rsidRPr="00700E56" w:rsidRDefault="007E53A1" w:rsidP="008837CD">
      <w:pPr>
        <w:widowControl w:val="0"/>
        <w:numPr>
          <w:ilvl w:val="1"/>
          <w:numId w:val="0"/>
        </w:numPr>
        <w:tabs>
          <w:tab w:val="num" w:pos="720"/>
        </w:tabs>
        <w:spacing w:line="360" w:lineRule="auto"/>
        <w:ind w:left="720" w:hanging="720"/>
        <w:contextualSpacing/>
        <w:jc w:val="both"/>
        <w:outlineLvl w:val="1"/>
        <w:rPr>
          <w:rFonts w:eastAsia="MS Mincho"/>
          <w:b/>
          <w:lang w:eastAsia="en-US"/>
        </w:rPr>
      </w:pPr>
      <w:r w:rsidRPr="00652073">
        <w:rPr>
          <w:rFonts w:eastAsia="Times New Roman"/>
          <w:b/>
          <w:lang w:eastAsia="en-US"/>
        </w:rPr>
        <w:t>Q.</w:t>
      </w:r>
      <w:r w:rsidRPr="00652073">
        <w:rPr>
          <w:rFonts w:eastAsia="Times New Roman"/>
          <w:b/>
          <w:lang w:eastAsia="en-US"/>
        </w:rPr>
        <w:tab/>
        <w:t xml:space="preserve">HOW WILL THE TRANSMISSION INVESTMENTS MITIGATE RISK </w:t>
      </w:r>
      <w:r w:rsidRPr="00700E56">
        <w:rPr>
          <w:rFonts w:eastAsia="Times New Roman"/>
          <w:b/>
          <w:lang w:eastAsia="en-US"/>
        </w:rPr>
        <w:t>ASSOCIATED WITH AGING INFRASTRUCTURE</w:t>
      </w:r>
      <w:r w:rsidR="0021474E">
        <w:rPr>
          <w:rFonts w:eastAsia="Times New Roman"/>
          <w:b/>
          <w:lang w:eastAsia="en-US"/>
        </w:rPr>
        <w:t>?</w:t>
      </w:r>
    </w:p>
    <w:p w14:paraId="5547332B" w14:textId="77777777" w:rsidR="007E53A1" w:rsidRDefault="007E53A1" w:rsidP="00AB48A0">
      <w:pPr>
        <w:pStyle w:val="hang"/>
        <w:spacing w:after="0"/>
      </w:pPr>
      <w:r w:rsidRPr="00700E56">
        <w:rPr>
          <w:szCs w:val="24"/>
        </w:rPr>
        <w:t>A.</w:t>
      </w:r>
      <w:r w:rsidRPr="00700E56">
        <w:rPr>
          <w:szCs w:val="24"/>
        </w:rPr>
        <w:tab/>
      </w:r>
      <w:r w:rsidR="00700E56" w:rsidRPr="008837CD">
        <w:t>By implementing the grid investment plan</w:t>
      </w:r>
      <w:r w:rsidR="00743B3E">
        <w:t>,</w:t>
      </w:r>
      <w:r w:rsidR="00700E56" w:rsidRPr="008837CD">
        <w:t xml:space="preserve"> the Company will reduce the number of assets </w:t>
      </w:r>
      <w:r w:rsidR="00700E56" w:rsidRPr="008837CD">
        <w:rPr>
          <w:szCs w:val="24"/>
        </w:rPr>
        <w:t xml:space="preserve">beyond their </w:t>
      </w:r>
      <w:r w:rsidR="00C970E8">
        <w:t>expected</w:t>
      </w:r>
      <w:r w:rsidR="00700E56" w:rsidRPr="008837CD">
        <w:rPr>
          <w:szCs w:val="24"/>
        </w:rPr>
        <w:t xml:space="preserve"> life </w:t>
      </w:r>
      <w:r w:rsidR="00700E56" w:rsidRPr="008837CD">
        <w:t>on the system, thereby reducing the likelihood of failure</w:t>
      </w:r>
      <w:r w:rsidR="0021474E">
        <w:t>s</w:t>
      </w:r>
      <w:r w:rsidR="00700E56" w:rsidRPr="008837CD">
        <w:t xml:space="preserve"> and ensur</w:t>
      </w:r>
      <w:r w:rsidR="005227D8">
        <w:t>ing</w:t>
      </w:r>
      <w:r w:rsidR="00700E56" w:rsidRPr="008837CD">
        <w:t xml:space="preserve"> the integrity of the system.</w:t>
      </w:r>
    </w:p>
    <w:p w14:paraId="2782E33F" w14:textId="77777777" w:rsidR="00010671" w:rsidRPr="00652073" w:rsidRDefault="00010671" w:rsidP="008837CD">
      <w:pPr>
        <w:pStyle w:val="hang"/>
        <w:spacing w:after="0"/>
        <w:rPr>
          <w:rFonts w:eastAsia="MS Mincho"/>
          <w:szCs w:val="24"/>
        </w:rPr>
      </w:pPr>
    </w:p>
    <w:p w14:paraId="6354AD91" w14:textId="77777777" w:rsidR="007E53A1" w:rsidRPr="00652073" w:rsidRDefault="007E53A1" w:rsidP="008837CD">
      <w:pPr>
        <w:widowControl w:val="0"/>
        <w:numPr>
          <w:ilvl w:val="1"/>
          <w:numId w:val="0"/>
        </w:numPr>
        <w:tabs>
          <w:tab w:val="num" w:pos="810"/>
        </w:tabs>
        <w:spacing w:line="360" w:lineRule="auto"/>
        <w:ind w:left="720" w:hanging="720"/>
        <w:contextualSpacing/>
        <w:jc w:val="both"/>
        <w:outlineLvl w:val="1"/>
        <w:rPr>
          <w:rFonts w:eastAsia="Times New Roman"/>
          <w:lang w:eastAsia="en-US"/>
        </w:rPr>
      </w:pPr>
      <w:r w:rsidRPr="00652073">
        <w:rPr>
          <w:rFonts w:eastAsia="Times New Roman"/>
          <w:b/>
          <w:lang w:eastAsia="en-US"/>
        </w:rPr>
        <w:t>Q.</w:t>
      </w:r>
      <w:r w:rsidRPr="00652073">
        <w:rPr>
          <w:rFonts w:eastAsia="Times New Roman"/>
          <w:b/>
          <w:lang w:eastAsia="en-US"/>
        </w:rPr>
        <w:tab/>
        <w:t xml:space="preserve">WHAT WILL HAPPEN IF THE COMPANY DOES NOT UNDERTAKE THESE STRATEGIC INVESTMENTS? </w:t>
      </w:r>
    </w:p>
    <w:p w14:paraId="42939108" w14:textId="77777777" w:rsidR="00DF62E8" w:rsidRPr="00743B3E" w:rsidRDefault="007E53A1" w:rsidP="00743B3E">
      <w:pPr>
        <w:spacing w:line="360" w:lineRule="auto"/>
        <w:ind w:left="720" w:hanging="720"/>
        <w:jc w:val="both"/>
        <w:rPr>
          <w:rFonts w:eastAsia="MS Mincho"/>
        </w:rPr>
      </w:pPr>
      <w:r w:rsidRPr="00652073">
        <w:t>A.</w:t>
      </w:r>
      <w:r w:rsidRPr="00652073">
        <w:tab/>
        <w:t>If the Company does not undertake these strategic investments, the risk of outages and equipment failure, including costly catastrophic equipment failure will increase.  This risk will be more consequential during periods of high system load and/or high construction and maintenance workload.  The Company cannot predict the precise timing of negative consequences, much like maintenance of a vehicle</w:t>
      </w:r>
      <w:r w:rsidR="00DF62E8">
        <w:t>.</w:t>
      </w:r>
      <w:r w:rsidR="00DF62E8" w:rsidRPr="00DF62E8">
        <w:t xml:space="preserve"> Even with the best maintenance routines—oil changes, tire rotations, tune-ups, components of a car will wear out and fail, </w:t>
      </w:r>
      <w:r w:rsidR="00DF62E8">
        <w:t>and</w:t>
      </w:r>
      <w:r w:rsidR="0021474E">
        <w:t xml:space="preserve"> components</w:t>
      </w:r>
      <w:r w:rsidR="00DF62E8" w:rsidRPr="00DF62E8">
        <w:t xml:space="preserve"> must ultimately be replaced to keep the car on the road.  </w:t>
      </w:r>
      <w:r w:rsidR="00DF62E8">
        <w:t xml:space="preserve">Similarly, </w:t>
      </w:r>
      <w:r w:rsidR="00DF62E8" w:rsidRPr="00652073">
        <w:t xml:space="preserve">the collective expertise of </w:t>
      </w:r>
      <w:r w:rsidR="007864FC">
        <w:t>Georgia Power’s</w:t>
      </w:r>
      <w:r w:rsidR="00DF62E8" w:rsidRPr="00652073">
        <w:t xml:space="preserve"> organizations leads the Company to believe that the grid investment plan is </w:t>
      </w:r>
      <w:r w:rsidR="00DF62E8">
        <w:t xml:space="preserve">immediately </w:t>
      </w:r>
      <w:r w:rsidR="00DF62E8" w:rsidRPr="00652073">
        <w:t xml:space="preserve">necessary.  If the Company does not increase investment now, it </w:t>
      </w:r>
      <w:r w:rsidR="00DF62E8" w:rsidRPr="00652073">
        <w:rPr>
          <w:rFonts w:eastAsia="MS Mincho"/>
        </w:rPr>
        <w:t xml:space="preserve">will jeopardize system performance and increase costs.  </w:t>
      </w:r>
      <w:r w:rsidR="00246FDA">
        <w:rPr>
          <w:rFonts w:eastAsia="MS Mincho"/>
        </w:rPr>
        <w:t>Th</w:t>
      </w:r>
      <w:r w:rsidR="0021474E">
        <w:rPr>
          <w:rFonts w:eastAsia="MS Mincho"/>
        </w:rPr>
        <w:t>ose</w:t>
      </w:r>
      <w:r w:rsidR="00246FDA">
        <w:rPr>
          <w:rFonts w:eastAsia="MS Mincho"/>
        </w:rPr>
        <w:t xml:space="preserve"> cost increases</w:t>
      </w:r>
      <w:r w:rsidR="00302D24">
        <w:rPr>
          <w:rFonts w:eastAsia="MS Mincho"/>
        </w:rPr>
        <w:t xml:space="preserve"> </w:t>
      </w:r>
      <w:r w:rsidR="00DF62E8" w:rsidRPr="00652073">
        <w:t xml:space="preserve">come in the form of additional customer outages, increased costs of re-dispatching generation </w:t>
      </w:r>
      <w:r w:rsidR="00DF62E8">
        <w:t>out of</w:t>
      </w:r>
      <w:r w:rsidR="00DF62E8" w:rsidRPr="00652073">
        <w:t xml:space="preserve"> economic</w:t>
      </w:r>
      <w:r w:rsidR="00DF62E8">
        <w:t>s</w:t>
      </w:r>
      <w:r w:rsidR="00DF62E8" w:rsidRPr="00652073">
        <w:t xml:space="preserve">, increased maintenance costs to maintain aged </w:t>
      </w:r>
      <w:r w:rsidR="00DF62E8" w:rsidRPr="00652073">
        <w:lastRenderedPageBreak/>
        <w:t xml:space="preserve">equipment, and increased replacement costs associated </w:t>
      </w:r>
      <w:r w:rsidR="00DF62E8" w:rsidRPr="00F95969">
        <w:t>with</w:t>
      </w:r>
      <w:r w:rsidR="00DF62E8">
        <w:t xml:space="preserve"> unplanned, and potentially</w:t>
      </w:r>
      <w:r w:rsidR="00DF62E8" w:rsidRPr="00F95969">
        <w:t xml:space="preserve"> catastrophic</w:t>
      </w:r>
      <w:r w:rsidR="00DF62E8">
        <w:t>,</w:t>
      </w:r>
      <w:r w:rsidR="00DF62E8" w:rsidRPr="00F95969">
        <w:t xml:space="preserve"> failures</w:t>
      </w:r>
      <w:r w:rsidR="0021474E">
        <w:t>.</w:t>
      </w:r>
    </w:p>
    <w:p w14:paraId="322FB553" w14:textId="2218EA14" w:rsidR="007E53A1" w:rsidRDefault="007E53A1" w:rsidP="00F526A6">
      <w:pPr>
        <w:pStyle w:val="ListParagraph"/>
        <w:spacing w:line="360" w:lineRule="auto"/>
        <w:ind w:left="0"/>
        <w:rPr>
          <w:b/>
        </w:rPr>
      </w:pPr>
    </w:p>
    <w:p w14:paraId="0D52B224" w14:textId="77777777" w:rsidR="00F526A6" w:rsidRDefault="00F526A6" w:rsidP="00F526A6">
      <w:pPr>
        <w:pStyle w:val="OutlineL1"/>
        <w:numPr>
          <w:ilvl w:val="0"/>
          <w:numId w:val="0"/>
        </w:numPr>
        <w:spacing w:after="0" w:line="360" w:lineRule="auto"/>
        <w:jc w:val="left"/>
        <w:rPr>
          <w:rFonts w:eastAsia="SimSun"/>
          <w:szCs w:val="24"/>
          <w:u w:val="none"/>
          <w:lang w:eastAsia="zh-CN"/>
        </w:rPr>
      </w:pPr>
      <w:bookmarkStart w:id="38" w:name="_Ref11173523"/>
      <w:bookmarkStart w:id="39" w:name="_Toc11174254"/>
      <w:bookmarkStart w:id="40" w:name="_Hlk11051090"/>
    </w:p>
    <w:p w14:paraId="6B4C0DB0" w14:textId="3FF4D549" w:rsidR="007E53A1" w:rsidRDefault="00F526A6" w:rsidP="00F526A6">
      <w:pPr>
        <w:pStyle w:val="OutlineL1"/>
        <w:numPr>
          <w:ilvl w:val="0"/>
          <w:numId w:val="0"/>
        </w:numPr>
        <w:spacing w:after="0" w:line="360" w:lineRule="auto"/>
      </w:pPr>
      <w:r w:rsidRPr="00F526A6">
        <w:rPr>
          <w:u w:val="none"/>
        </w:rPr>
        <w:t>XI.</w:t>
      </w:r>
      <w:r>
        <w:rPr>
          <w:u w:val="none"/>
        </w:rPr>
        <w:t xml:space="preserve">      </w:t>
      </w:r>
      <w:r w:rsidR="007E53A1" w:rsidRPr="00DB62C0">
        <w:t>GEORGIA POWER’S 2019 INTEGRATED RESOURCE PLAN</w:t>
      </w:r>
      <w:bookmarkEnd w:id="38"/>
      <w:bookmarkEnd w:id="39"/>
      <w:bookmarkEnd w:id="40"/>
    </w:p>
    <w:p w14:paraId="605CEF1B" w14:textId="77777777" w:rsidR="00F526A6" w:rsidRPr="00F526A6" w:rsidRDefault="00F526A6" w:rsidP="00F526A6">
      <w:pPr>
        <w:pStyle w:val="BodyText"/>
        <w:rPr>
          <w:lang w:eastAsia="en-US"/>
        </w:rPr>
      </w:pPr>
    </w:p>
    <w:p w14:paraId="5FB5FF4A" w14:textId="0CB0AC8F" w:rsidR="007E53A1" w:rsidRPr="005F19CB" w:rsidRDefault="007E53A1" w:rsidP="007E53A1">
      <w:pPr>
        <w:spacing w:line="360" w:lineRule="auto"/>
        <w:ind w:left="720" w:hanging="720"/>
        <w:jc w:val="both"/>
        <w:rPr>
          <w:b/>
        </w:rPr>
      </w:pPr>
      <w:r w:rsidRPr="005F19CB">
        <w:rPr>
          <w:b/>
        </w:rPr>
        <w:t>Q.</w:t>
      </w:r>
      <w:r w:rsidRPr="005F19CB">
        <w:rPr>
          <w:b/>
        </w:rPr>
        <w:tab/>
        <w:t>PLEASE EXPLAIN THE ADJUSTMENT</w:t>
      </w:r>
      <w:r>
        <w:rPr>
          <w:b/>
        </w:rPr>
        <w:t>S</w:t>
      </w:r>
      <w:r w:rsidRPr="005F19CB">
        <w:rPr>
          <w:b/>
        </w:rPr>
        <w:t xml:space="preserve"> </w:t>
      </w:r>
      <w:r>
        <w:rPr>
          <w:b/>
        </w:rPr>
        <w:t xml:space="preserve">RELATED TO THE COMPANY’S PENDING DECERTIFICATION REQUESTS IN </w:t>
      </w:r>
      <w:r w:rsidR="00D04725">
        <w:rPr>
          <w:b/>
        </w:rPr>
        <w:t>THE 2019 IRP</w:t>
      </w:r>
      <w:r w:rsidRPr="005F19CB">
        <w:rPr>
          <w:b/>
        </w:rPr>
        <w:t>.</w:t>
      </w:r>
    </w:p>
    <w:p w14:paraId="38B00A9C" w14:textId="7CE74524" w:rsidR="002C6DC9" w:rsidRPr="002C6DC9" w:rsidRDefault="007E53A1" w:rsidP="002C6DC9">
      <w:pPr>
        <w:spacing w:line="360" w:lineRule="auto"/>
        <w:ind w:left="720" w:hanging="720"/>
        <w:jc w:val="both"/>
      </w:pPr>
      <w:r w:rsidRPr="005F19CB">
        <w:t>A.</w:t>
      </w:r>
      <w:r w:rsidRPr="005F19CB">
        <w:tab/>
      </w:r>
      <w:r w:rsidR="00071456">
        <w:t>This</w:t>
      </w:r>
      <w:r w:rsidR="00521145">
        <w:t xml:space="preserve"> base rate</w:t>
      </w:r>
      <w:r w:rsidR="00071456">
        <w:t xml:space="preserve"> filing reflects</w:t>
      </w:r>
      <w:r w:rsidR="00521145">
        <w:t xml:space="preserve"> assumptions consistent with</w:t>
      </w:r>
      <w:r w:rsidR="00071456">
        <w:t xml:space="preserve"> the </w:t>
      </w:r>
      <w:r w:rsidR="00AC55B1">
        <w:t xml:space="preserve">Company’s </w:t>
      </w:r>
      <w:r w:rsidR="00D04725">
        <w:t>2019 IRP</w:t>
      </w:r>
      <w:r w:rsidR="00521145">
        <w:t>. Accordingly,</w:t>
      </w:r>
      <w:r w:rsidR="00C96453">
        <w:t xml:space="preserve"> </w:t>
      </w:r>
      <w:r w:rsidR="00521145">
        <w:t xml:space="preserve">the </w:t>
      </w:r>
      <w:r w:rsidR="00071456">
        <w:t>remaining NBV of Plant Hammond Units 1-4</w:t>
      </w:r>
      <w:r w:rsidR="00B7394F">
        <w:t xml:space="preserve"> has been reclassified</w:t>
      </w:r>
      <w:r w:rsidR="00C96453">
        <w:t xml:space="preserve"> to a regulatory asset account</w:t>
      </w:r>
      <w:r w:rsidR="00071456">
        <w:t xml:space="preserve"> as of the expected</w:t>
      </w:r>
      <w:r w:rsidR="00521145">
        <w:t xml:space="preserve"> Commission decision</w:t>
      </w:r>
      <w:r w:rsidR="00071456">
        <w:t xml:space="preserve"> date</w:t>
      </w:r>
      <w:r w:rsidR="00C96453">
        <w:t xml:space="preserve"> </w:t>
      </w:r>
      <w:r w:rsidR="00071456">
        <w:t xml:space="preserve">and amortized ratably over a period equal to the respective unit’s remaining useful life as established in the depreciation study approved as part of the Company’s 2013 </w:t>
      </w:r>
      <w:r w:rsidR="00B90FE6">
        <w:t>Rate Case</w:t>
      </w:r>
      <w:r w:rsidR="00071456">
        <w:t xml:space="preserve">.  This filing also reflects </w:t>
      </w:r>
      <w:r w:rsidR="00CA53E4">
        <w:t>reclassifying</w:t>
      </w:r>
      <w:r w:rsidR="00071456">
        <w:t xml:space="preserve"> the remaining NBV of Plant McIntosh Unit 1</w:t>
      </w:r>
      <w:r w:rsidR="00071456" w:rsidRPr="0067752F">
        <w:t>, Plant Estatoah Unit 1, Plant Langdale Units 5-6, and Plant Riverview Units 1-2</w:t>
      </w:r>
      <w:r w:rsidR="00CA53E4">
        <w:t xml:space="preserve"> to regulatory asset accounts</w:t>
      </w:r>
      <w:r w:rsidR="00071456" w:rsidRPr="0067752F">
        <w:t xml:space="preserve"> </w:t>
      </w:r>
      <w:r w:rsidR="00071456">
        <w:t>as of the expected Commission decision</w:t>
      </w:r>
      <w:r w:rsidR="00CA53E4">
        <w:t xml:space="preserve"> date</w:t>
      </w:r>
      <w:r w:rsidR="00071456">
        <w:t xml:space="preserve"> and amortizing ratably over </w:t>
      </w:r>
      <w:r w:rsidR="00071456" w:rsidRPr="005F19CB">
        <w:t>the three</w:t>
      </w:r>
      <w:r w:rsidR="00071456">
        <w:t>-</w:t>
      </w:r>
      <w:r w:rsidR="00071456" w:rsidRPr="005F19CB">
        <w:t>year period ending December 31, 20</w:t>
      </w:r>
      <w:r w:rsidR="00071456">
        <w:t>22.</w:t>
      </w:r>
      <w:r w:rsidR="00B7394F">
        <w:t xml:space="preserve">  </w:t>
      </w:r>
      <w:r w:rsidR="00071456">
        <w:t>Accordingly, these units have been excluded from the depreciation study filed in this proceeding and depreciation on these units will cease when the NBV is reclassified to regulatory assets.</w:t>
      </w:r>
      <w:r w:rsidR="00CA53E4">
        <w:t xml:space="preserve">  </w:t>
      </w:r>
      <w:r w:rsidR="00071456">
        <w:t>In addition, the Company reclassified $17.5 million of estimated unusable material and supplies inventory from Plants Hammond and McIntosh to a regulatory asset and proposes to amortize this amount ratably over the three-year period ending December 31, 2022. Similar to the NBV and obsolete inventory associated with previously decertified units, t</w:t>
      </w:r>
      <w:r w:rsidR="00071456" w:rsidRPr="005F19CB">
        <w:t>he regulatory asset</w:t>
      </w:r>
      <w:r w:rsidR="00071456">
        <w:t>s</w:t>
      </w:r>
      <w:r w:rsidR="00071456" w:rsidRPr="005F19CB">
        <w:t xml:space="preserve"> and associated amortization amounts have been included in the </w:t>
      </w:r>
      <w:r w:rsidR="00071456">
        <w:t>ECCR revenue requirement</w:t>
      </w:r>
      <w:r w:rsidR="00071456" w:rsidRPr="005F19CB">
        <w:t>.</w:t>
      </w:r>
      <w:r w:rsidR="002C6DC9">
        <w:rPr>
          <w:b/>
        </w:rPr>
        <w:br w:type="page"/>
      </w:r>
    </w:p>
    <w:p w14:paraId="4BC09721" w14:textId="354544CA" w:rsidR="007E53A1" w:rsidRDefault="00F526A6" w:rsidP="00F526A6">
      <w:pPr>
        <w:pStyle w:val="OutlineL1"/>
        <w:numPr>
          <w:ilvl w:val="0"/>
          <w:numId w:val="0"/>
        </w:numPr>
        <w:spacing w:after="0"/>
      </w:pPr>
      <w:bookmarkStart w:id="41" w:name="_Ref11173538"/>
      <w:bookmarkStart w:id="42" w:name="_Toc11174255"/>
      <w:bookmarkStart w:id="43" w:name="_Hlk11051096"/>
      <w:r w:rsidRPr="00F526A6">
        <w:rPr>
          <w:u w:val="none"/>
        </w:rPr>
        <w:lastRenderedPageBreak/>
        <w:t>XII.</w:t>
      </w:r>
      <w:r>
        <w:rPr>
          <w:u w:val="none"/>
        </w:rPr>
        <w:t xml:space="preserve">      </w:t>
      </w:r>
      <w:r w:rsidR="007E53A1" w:rsidRPr="00713B9B">
        <w:t>WHOLESALE SALES</w:t>
      </w:r>
      <w:bookmarkEnd w:id="41"/>
      <w:bookmarkEnd w:id="42"/>
    </w:p>
    <w:p w14:paraId="3D6CCCB4" w14:textId="77777777" w:rsidR="00F526A6" w:rsidRPr="00F526A6" w:rsidRDefault="00F526A6" w:rsidP="00F526A6">
      <w:pPr>
        <w:pStyle w:val="BodyText"/>
        <w:rPr>
          <w:lang w:eastAsia="en-US"/>
        </w:rPr>
      </w:pPr>
    </w:p>
    <w:bookmarkEnd w:id="43"/>
    <w:p w14:paraId="3672B331" w14:textId="77777777" w:rsidR="007E53A1" w:rsidRPr="005F19CB" w:rsidRDefault="007E53A1" w:rsidP="00F526A6">
      <w:pPr>
        <w:spacing w:line="360" w:lineRule="auto"/>
        <w:ind w:left="720" w:hanging="720"/>
        <w:jc w:val="both"/>
        <w:rPr>
          <w:b/>
        </w:rPr>
      </w:pPr>
      <w:r w:rsidRPr="005F19CB">
        <w:rPr>
          <w:b/>
        </w:rPr>
        <w:t>Q.</w:t>
      </w:r>
      <w:r w:rsidRPr="005F19CB">
        <w:rPr>
          <w:b/>
        </w:rPr>
        <w:tab/>
        <w:t>PLEASE DESCRIBE THE TYPES OF SALES THE COMPANY TYPICALLY MAKES IN THE WHOLESALE MARKETS.</w:t>
      </w:r>
    </w:p>
    <w:p w14:paraId="69512F59" w14:textId="77777777" w:rsidR="007E53A1" w:rsidRDefault="007E53A1" w:rsidP="007E53A1">
      <w:pPr>
        <w:spacing w:line="360" w:lineRule="auto"/>
        <w:ind w:left="720" w:hanging="720"/>
        <w:jc w:val="both"/>
      </w:pPr>
      <w:r w:rsidRPr="005F19CB">
        <w:t>A.</w:t>
      </w:r>
      <w:r w:rsidRPr="005F19CB">
        <w:tab/>
      </w:r>
      <w:r>
        <w:t>Generally, t</w:t>
      </w:r>
      <w:r w:rsidRPr="005F19CB">
        <w:t xml:space="preserve">here are three types of </w:t>
      </w:r>
      <w:r>
        <w:t xml:space="preserve">sales </w:t>
      </w:r>
      <w:r w:rsidR="00B51A67">
        <w:t xml:space="preserve">Georgia Power makes </w:t>
      </w:r>
      <w:r>
        <w:t xml:space="preserve">to the </w:t>
      </w:r>
      <w:r w:rsidRPr="005F19CB">
        <w:t xml:space="preserve">wholesale </w:t>
      </w:r>
      <w:r>
        <w:t>market</w:t>
      </w:r>
      <w:r w:rsidRPr="005F19CB">
        <w:t>.  The first is Economy Energy/Opportunity sales, the second is Market-Based Tariff sales from non-specified generating units, and the third is Wholesale Block Power</w:t>
      </w:r>
      <w:r>
        <w:t xml:space="preserve"> and Solar</w:t>
      </w:r>
      <w:r w:rsidRPr="005F19CB">
        <w:t xml:space="preserve"> sales</w:t>
      </w:r>
      <w:r>
        <w:t xml:space="preserve"> from dedicated units</w:t>
      </w:r>
      <w:r w:rsidRPr="005F19CB">
        <w:t xml:space="preserve">.  </w:t>
      </w:r>
      <w:r>
        <w:t>The Company also facilitates the transfer of energy generated at Plant Scherer Unit 4 to its owners, Jacksonville Electric Authority and Florida Power and Light, through the Transmission Service Agreement (“TSA”).</w:t>
      </w:r>
      <w:r>
        <w:tab/>
      </w:r>
      <w:r w:rsidR="00B51A67">
        <w:t xml:space="preserve"> </w:t>
      </w:r>
      <w:r>
        <w:t>All of these sales are governed by FERC.</w:t>
      </w:r>
    </w:p>
    <w:p w14:paraId="6A924D49" w14:textId="77777777" w:rsidR="007E53A1" w:rsidRDefault="007E53A1" w:rsidP="007E53A1">
      <w:pPr>
        <w:spacing w:line="360" w:lineRule="auto"/>
        <w:jc w:val="both"/>
      </w:pPr>
    </w:p>
    <w:p w14:paraId="09ABCF33" w14:textId="77777777" w:rsidR="007E53A1" w:rsidRPr="005F19CB" w:rsidRDefault="007E53A1" w:rsidP="007E53A1">
      <w:pPr>
        <w:spacing w:line="360" w:lineRule="auto"/>
        <w:ind w:left="720" w:hanging="720"/>
        <w:jc w:val="both"/>
        <w:rPr>
          <w:b/>
        </w:rPr>
      </w:pPr>
      <w:r w:rsidRPr="005F19CB">
        <w:rPr>
          <w:b/>
        </w:rPr>
        <w:t>Q.</w:t>
      </w:r>
      <w:r w:rsidRPr="005F19CB">
        <w:rPr>
          <w:b/>
        </w:rPr>
        <w:tab/>
        <w:t>PLEASE DESCRIBE THE TREATMENT OF ECONOMY ENERGY/ OPPORTUNITY SALES.</w:t>
      </w:r>
    </w:p>
    <w:p w14:paraId="1F389DAA" w14:textId="77777777" w:rsidR="007E53A1" w:rsidRDefault="007E53A1" w:rsidP="007E53A1">
      <w:pPr>
        <w:spacing w:line="360" w:lineRule="auto"/>
        <w:ind w:left="720" w:hanging="720"/>
        <w:jc w:val="both"/>
      </w:pPr>
      <w:r w:rsidRPr="005F19CB">
        <w:t>A.</w:t>
      </w:r>
      <w:r w:rsidRPr="005F19CB">
        <w:tab/>
        <w:t>Economy Energy/Opportunity sales are short-term, non-firm sales to wholesale customers outside Georgia Power’s service territory.  Pursuant to the Commission’s Order in Georgia Power’s 1989 rate case in Docket No. 3840 and subsequent dockets, the Company returns 75</w:t>
      </w:r>
      <w:r w:rsidR="003E79F4">
        <w:t>%</w:t>
      </w:r>
      <w:r w:rsidRPr="005F19CB">
        <w:t xml:space="preserve"> of actual profits on economy sales to </w:t>
      </w:r>
      <w:r>
        <w:t xml:space="preserve">retail </w:t>
      </w:r>
      <w:r w:rsidRPr="005F19CB">
        <w:t>customers, with the Company retaining the remaining 25</w:t>
      </w:r>
      <w:r w:rsidR="003E79F4">
        <w:t>%</w:t>
      </w:r>
      <w:r w:rsidRPr="005F19CB">
        <w:t>.</w:t>
      </w:r>
    </w:p>
    <w:p w14:paraId="5A0536D5" w14:textId="77777777" w:rsidR="007E53A1" w:rsidRDefault="007E53A1" w:rsidP="007E53A1">
      <w:pPr>
        <w:spacing w:line="360" w:lineRule="auto"/>
        <w:ind w:left="720" w:hanging="720"/>
        <w:jc w:val="both"/>
      </w:pPr>
    </w:p>
    <w:p w14:paraId="15156C70" w14:textId="77777777" w:rsidR="007E53A1" w:rsidRPr="005F19CB" w:rsidRDefault="007E53A1" w:rsidP="007E53A1">
      <w:pPr>
        <w:spacing w:line="360" w:lineRule="auto"/>
        <w:ind w:left="720" w:hanging="720"/>
        <w:jc w:val="both"/>
        <w:rPr>
          <w:b/>
        </w:rPr>
      </w:pPr>
      <w:r w:rsidRPr="005F19CB">
        <w:rPr>
          <w:b/>
        </w:rPr>
        <w:t>Q.</w:t>
      </w:r>
      <w:r w:rsidRPr="005F19CB">
        <w:rPr>
          <w:b/>
        </w:rPr>
        <w:tab/>
        <w:t>PLEASE DESCRIBE THE TREATMENT OF MARKET-BASED TARIFF SALES FROM NON-SPECIFIED UNITS.</w:t>
      </w:r>
    </w:p>
    <w:p w14:paraId="487CAC65" w14:textId="3B3DF1B4" w:rsidR="004A5C46" w:rsidRDefault="007E53A1" w:rsidP="004A5C46">
      <w:pPr>
        <w:spacing w:line="360" w:lineRule="auto"/>
        <w:ind w:left="720" w:hanging="720"/>
        <w:jc w:val="both"/>
      </w:pPr>
      <w:r w:rsidRPr="005F19CB">
        <w:t>A.</w:t>
      </w:r>
      <w:r w:rsidRPr="005F19CB">
        <w:tab/>
        <w:t xml:space="preserve">These are sales of capacity and energy made from Company resources to off-system companies under the Southern Company </w:t>
      </w:r>
      <w:r>
        <w:t>FERC</w:t>
      </w:r>
      <w:r w:rsidRPr="005F19CB">
        <w:t xml:space="preserve">-approved, </w:t>
      </w:r>
      <w:r>
        <w:t>M</w:t>
      </w:r>
      <w:r w:rsidRPr="005F19CB">
        <w:t>arket-</w:t>
      </w:r>
      <w:r>
        <w:t>B</w:t>
      </w:r>
      <w:r w:rsidRPr="005F19CB">
        <w:t xml:space="preserve">ased </w:t>
      </w:r>
      <w:r>
        <w:t xml:space="preserve">Rate </w:t>
      </w:r>
      <w:r w:rsidRPr="005F19CB">
        <w:t xml:space="preserve">tariff.  Consistent with the treatment of these sales in Georgia Power’s 1983 rate case in Docket No. 3397 and </w:t>
      </w:r>
      <w:r>
        <w:t>later updated in Docket No. 18300</w:t>
      </w:r>
      <w:r w:rsidRPr="005F19CB">
        <w:t xml:space="preserve">, </w:t>
      </w:r>
      <w:r>
        <w:t>the Company returns</w:t>
      </w:r>
      <w:r w:rsidRPr="005F19CB">
        <w:t xml:space="preserve"> 80</w:t>
      </w:r>
      <w:r w:rsidR="003E79F4">
        <w:t>%</w:t>
      </w:r>
      <w:r w:rsidRPr="005F19CB">
        <w:t xml:space="preserve"> of capacity revenues from these sales to retail customers</w:t>
      </w:r>
      <w:r>
        <w:t>, with the Company retaining the remaining 20</w:t>
      </w:r>
      <w:r w:rsidR="003E79F4">
        <w:t>%</w:t>
      </w:r>
      <w:r w:rsidRPr="005F19CB">
        <w:t xml:space="preserve">.  </w:t>
      </w:r>
      <w:r w:rsidR="004A5C46">
        <w:br w:type="page"/>
      </w:r>
    </w:p>
    <w:p w14:paraId="71EE74A2" w14:textId="77777777" w:rsidR="007E53A1" w:rsidRPr="005F19CB" w:rsidRDefault="007E53A1" w:rsidP="007E53A1">
      <w:pPr>
        <w:spacing w:line="360" w:lineRule="auto"/>
        <w:ind w:left="720" w:hanging="720"/>
        <w:jc w:val="both"/>
        <w:rPr>
          <w:b/>
        </w:rPr>
      </w:pPr>
      <w:r w:rsidRPr="005F19CB">
        <w:rPr>
          <w:b/>
        </w:rPr>
        <w:lastRenderedPageBreak/>
        <w:t>Q.</w:t>
      </w:r>
      <w:r w:rsidRPr="005F19CB">
        <w:rPr>
          <w:b/>
        </w:rPr>
        <w:tab/>
        <w:t xml:space="preserve">PLEASE DESCRIBE THE TREATMENT OF BLOCK POWER </w:t>
      </w:r>
      <w:r>
        <w:rPr>
          <w:b/>
        </w:rPr>
        <w:t xml:space="preserve">AND SOLAR </w:t>
      </w:r>
      <w:r w:rsidRPr="005F19CB">
        <w:rPr>
          <w:b/>
        </w:rPr>
        <w:t>SALES.</w:t>
      </w:r>
    </w:p>
    <w:p w14:paraId="63FD51CD" w14:textId="0F4FF730" w:rsidR="007E53A1" w:rsidRDefault="007E53A1" w:rsidP="007E53A1">
      <w:pPr>
        <w:spacing w:line="360" w:lineRule="auto"/>
        <w:ind w:left="720" w:hanging="720"/>
        <w:jc w:val="both"/>
      </w:pPr>
      <w:r w:rsidRPr="005F19CB">
        <w:t>A.</w:t>
      </w:r>
      <w:r w:rsidRPr="005F19CB">
        <w:tab/>
        <w:t xml:space="preserve">The Wholesale Block Power </w:t>
      </w:r>
      <w:r>
        <w:t xml:space="preserve">and Solar </w:t>
      </w:r>
      <w:r w:rsidR="00B51A67">
        <w:t>s</w:t>
      </w:r>
      <w:r w:rsidR="00B51A67" w:rsidRPr="005F19CB">
        <w:t xml:space="preserve">ales </w:t>
      </w:r>
      <w:r w:rsidRPr="005F19CB">
        <w:t xml:space="preserve">are contractual agreements between Georgia Power and non-associated companies that </w:t>
      </w:r>
      <w:r>
        <w:t xml:space="preserve">currently </w:t>
      </w:r>
      <w:r w:rsidRPr="005F19CB">
        <w:t xml:space="preserve">provide for capacity and energy sales of approximately </w:t>
      </w:r>
      <w:r>
        <w:t>480</w:t>
      </w:r>
      <w:r w:rsidRPr="005F19CB">
        <w:t xml:space="preserve"> MW which </w:t>
      </w:r>
      <w:r>
        <w:t>are</w:t>
      </w:r>
      <w:r w:rsidRPr="005F19CB">
        <w:t xml:space="preserve"> priced from specific Georgia Power units.  </w:t>
      </w:r>
      <w:r>
        <w:t xml:space="preserve">Through the transfer of wholesale capacity to retail as approved by the Commission in prior dockets as well as the retirement of certain generation units approved in the last few IRP filings, the total MW capacity sold to Wholesale Blocks has decreased significantly. </w:t>
      </w:r>
      <w:r w:rsidR="00B51A67">
        <w:t xml:space="preserve"> </w:t>
      </w:r>
      <w:r w:rsidRPr="005F19CB">
        <w:t xml:space="preserve">Investment and expenses associated with the </w:t>
      </w:r>
      <w:r>
        <w:t>Wholesale B</w:t>
      </w:r>
      <w:r w:rsidRPr="005F19CB">
        <w:t xml:space="preserve">locks </w:t>
      </w:r>
      <w:r>
        <w:t>are</w:t>
      </w:r>
      <w:r w:rsidRPr="005F19CB">
        <w:t xml:space="preserve"> </w:t>
      </w:r>
      <w:r>
        <w:t>allocated</w:t>
      </w:r>
      <w:r w:rsidRPr="005F19CB">
        <w:t xml:space="preserve"> based on Block Power </w:t>
      </w:r>
      <w:r>
        <w:t>MW</w:t>
      </w:r>
      <w:r w:rsidRPr="005F19CB">
        <w:t xml:space="preserve"> sales as a percentage of the Company’s </w:t>
      </w:r>
      <w:r>
        <w:t>total MW ownership</w:t>
      </w:r>
      <w:r w:rsidRPr="005F19CB">
        <w:t xml:space="preserve"> of the assigned units.  </w:t>
      </w:r>
      <w:r>
        <w:t xml:space="preserve">For Wholesale Solar sales to Dalton and Tri-County, the MWs are sourced from dedicated solar generating units directly serving these customers. </w:t>
      </w:r>
      <w:r w:rsidRPr="005F19CB">
        <w:t>Exhibit__</w:t>
      </w:r>
      <w:r w:rsidR="00363BA0">
        <w:t>_</w:t>
      </w:r>
      <w:r w:rsidRPr="005F19CB">
        <w:t>(</w:t>
      </w:r>
      <w:r>
        <w:t>DPP/SPA/MBR</w:t>
      </w:r>
      <w:r w:rsidRPr="005F19CB">
        <w:t>-</w:t>
      </w:r>
      <w:r w:rsidR="00567C60">
        <w:t>6</w:t>
      </w:r>
      <w:r w:rsidRPr="005F19CB">
        <w:t xml:space="preserve">, Schedule </w:t>
      </w:r>
      <w:r w:rsidR="00567C60">
        <w:t>2</w:t>
      </w:r>
      <w:r w:rsidR="00B90FE6">
        <w:t>, Workpapers 1 and 2</w:t>
      </w:r>
      <w:r w:rsidRPr="005F19CB">
        <w:t xml:space="preserve">) reflect these Wholesale Block Power </w:t>
      </w:r>
      <w:r>
        <w:t xml:space="preserve">and Solar </w:t>
      </w:r>
      <w:r w:rsidR="00B51A67">
        <w:t>s</w:t>
      </w:r>
      <w:r w:rsidR="00B51A67" w:rsidRPr="005F19CB">
        <w:t xml:space="preserve">ales </w:t>
      </w:r>
      <w:r w:rsidRPr="005F19CB">
        <w:t>assignments and allocations.</w:t>
      </w:r>
    </w:p>
    <w:p w14:paraId="0838157F" w14:textId="77777777" w:rsidR="002424B2" w:rsidRDefault="002424B2" w:rsidP="007E53A1">
      <w:pPr>
        <w:spacing w:line="360" w:lineRule="auto"/>
        <w:ind w:left="720" w:hanging="720"/>
        <w:jc w:val="both"/>
      </w:pPr>
    </w:p>
    <w:p w14:paraId="6A9D4B74" w14:textId="77777777" w:rsidR="007E53A1" w:rsidRDefault="007E53A1" w:rsidP="007E53A1">
      <w:pPr>
        <w:spacing w:line="360" w:lineRule="auto"/>
        <w:ind w:left="720"/>
        <w:jc w:val="both"/>
      </w:pPr>
      <w:r w:rsidRPr="005F19CB">
        <w:t xml:space="preserve">Consistent with their treatment in previous rate cases, the investment, revenues and expenses related to Wholesale Block Power </w:t>
      </w:r>
      <w:r>
        <w:t xml:space="preserve">and Solar </w:t>
      </w:r>
      <w:r w:rsidR="00993974">
        <w:t>s</w:t>
      </w:r>
      <w:r w:rsidR="00993974" w:rsidRPr="005F19CB">
        <w:t>ales</w:t>
      </w:r>
      <w:r>
        <w:t>,</w:t>
      </w:r>
      <w:r w:rsidRPr="005F19CB">
        <w:t xml:space="preserve"> which are sold off-system</w:t>
      </w:r>
      <w:r>
        <w:t>,</w:t>
      </w:r>
      <w:r w:rsidRPr="005F19CB">
        <w:t xml:space="preserve"> have been assigned to wholesale </w:t>
      </w:r>
      <w:r>
        <w:t xml:space="preserve">cost of </w:t>
      </w:r>
      <w:r w:rsidRPr="005F19CB">
        <w:t xml:space="preserve">service and are thus </w:t>
      </w:r>
      <w:r>
        <w:t>excluded from</w:t>
      </w:r>
      <w:r w:rsidRPr="005F19CB">
        <w:t xml:space="preserve"> retail cost of service. </w:t>
      </w:r>
    </w:p>
    <w:p w14:paraId="2F648253" w14:textId="77777777" w:rsidR="007E53A1" w:rsidRPr="005F19CB" w:rsidRDefault="007E53A1" w:rsidP="007E53A1">
      <w:pPr>
        <w:spacing w:line="360" w:lineRule="auto"/>
        <w:ind w:left="720"/>
        <w:jc w:val="both"/>
      </w:pPr>
    </w:p>
    <w:p w14:paraId="3DE8742F" w14:textId="77777777" w:rsidR="007E53A1" w:rsidRPr="005F19CB" w:rsidRDefault="007E53A1" w:rsidP="007E53A1">
      <w:pPr>
        <w:spacing w:line="360" w:lineRule="auto"/>
        <w:ind w:left="720" w:hanging="720"/>
        <w:rPr>
          <w:b/>
        </w:rPr>
      </w:pPr>
      <w:r w:rsidRPr="005F19CB">
        <w:rPr>
          <w:b/>
        </w:rPr>
        <w:t>Q.</w:t>
      </w:r>
      <w:r w:rsidRPr="005F19CB">
        <w:rPr>
          <w:b/>
        </w:rPr>
        <w:tab/>
      </w:r>
      <w:r>
        <w:rPr>
          <w:b/>
        </w:rPr>
        <w:t>WHAT OTHER WHOLESALE SALES ARE EXCLUDED FROM RETAIL COST OF SERVICE?</w:t>
      </w:r>
    </w:p>
    <w:p w14:paraId="19BDF43C" w14:textId="31CCFE25" w:rsidR="00993974" w:rsidRPr="005F19CB" w:rsidRDefault="007E53A1" w:rsidP="008837CD">
      <w:pPr>
        <w:spacing w:line="360" w:lineRule="auto"/>
        <w:ind w:left="720" w:hanging="720"/>
        <w:jc w:val="both"/>
      </w:pPr>
      <w:r>
        <w:t>A.</w:t>
      </w:r>
      <w:r>
        <w:tab/>
      </w:r>
      <w:r w:rsidRPr="005F19CB">
        <w:t>Exhibit_</w:t>
      </w:r>
      <w:r w:rsidR="00993974">
        <w:t>_</w:t>
      </w:r>
      <w:r w:rsidR="00363BA0">
        <w:t>_</w:t>
      </w:r>
      <w:r w:rsidRPr="005F19CB">
        <w:t>(</w:t>
      </w:r>
      <w:r>
        <w:t>DPP/SPA/MBR</w:t>
      </w:r>
      <w:r w:rsidRPr="005F19CB">
        <w:t>-</w:t>
      </w:r>
      <w:r w:rsidR="00B34C7F">
        <w:t>6</w:t>
      </w:r>
      <w:r w:rsidRPr="005F19CB">
        <w:t xml:space="preserve">, Schedule </w:t>
      </w:r>
      <w:r w:rsidR="00B34C7F">
        <w:t>2</w:t>
      </w:r>
      <w:r w:rsidR="00B90FE6">
        <w:t>, Workpapers 1 and 2</w:t>
      </w:r>
      <w:r w:rsidRPr="005F19CB">
        <w:t xml:space="preserve">) </w:t>
      </w:r>
      <w:r>
        <w:t xml:space="preserve">also includes an assignment of costs related to the Plant Scherer Unit 4 TSA.  The Plant Scherer Unit 4 TSA is a cost-based long-term firm contract regulated by FERC, which sets a fixed rate of return on the transmission investments associated with the contract. </w:t>
      </w:r>
      <w:r w:rsidR="002424B2">
        <w:t xml:space="preserve"> </w:t>
      </w:r>
      <w:r>
        <w:t>Investment and expenses associated with the TSA are allocated based on specific transmission assets of 115kV and above voltage levels.</w:t>
      </w:r>
      <w:r w:rsidR="00993974">
        <w:t xml:space="preserve"> </w:t>
      </w:r>
      <w:r w:rsidRPr="005F19CB">
        <w:t xml:space="preserve">Consistent with their treatment in </w:t>
      </w:r>
      <w:r w:rsidR="002424B2">
        <w:t>prior</w:t>
      </w:r>
      <w:r w:rsidR="002424B2" w:rsidRPr="005F19CB">
        <w:t xml:space="preserve"> </w:t>
      </w:r>
      <w:r w:rsidRPr="005F19CB">
        <w:t xml:space="preserve">rate cases, the investment, revenues and expenses related to </w:t>
      </w:r>
      <w:r>
        <w:t>Plant Scherer Unit 4 TSA,</w:t>
      </w:r>
      <w:r w:rsidRPr="005F19CB">
        <w:t xml:space="preserve"> which are sold off-system</w:t>
      </w:r>
      <w:r>
        <w:t>,</w:t>
      </w:r>
      <w:r w:rsidRPr="005F19CB">
        <w:t xml:space="preserve"> </w:t>
      </w:r>
      <w:r w:rsidRPr="005F19CB">
        <w:lastRenderedPageBreak/>
        <w:t xml:space="preserve">have been assigned to wholesale </w:t>
      </w:r>
      <w:r>
        <w:t xml:space="preserve">cost of </w:t>
      </w:r>
      <w:r w:rsidRPr="005F19CB">
        <w:t xml:space="preserve">service and are thus </w:t>
      </w:r>
      <w:r>
        <w:t>excluded from</w:t>
      </w:r>
      <w:r w:rsidRPr="005F19CB">
        <w:t xml:space="preserve"> retail cost of service. </w:t>
      </w:r>
    </w:p>
    <w:p w14:paraId="274F6E60" w14:textId="4A24E48B" w:rsidR="007E53A1" w:rsidRDefault="007E53A1" w:rsidP="002424B2">
      <w:pPr>
        <w:pStyle w:val="BodyTextIndent2"/>
        <w:spacing w:after="0" w:line="360" w:lineRule="auto"/>
        <w:ind w:left="720" w:hanging="720"/>
        <w:jc w:val="both"/>
      </w:pPr>
    </w:p>
    <w:p w14:paraId="04608EDA" w14:textId="77777777" w:rsidR="00F526A6" w:rsidRDefault="00F526A6" w:rsidP="002424B2">
      <w:pPr>
        <w:pStyle w:val="BodyTextIndent2"/>
        <w:spacing w:after="0" w:line="360" w:lineRule="auto"/>
        <w:ind w:left="720" w:hanging="720"/>
        <w:jc w:val="both"/>
      </w:pPr>
    </w:p>
    <w:p w14:paraId="2D4A24C7" w14:textId="79DEE409" w:rsidR="007E53A1" w:rsidRDefault="00F526A6" w:rsidP="00F526A6">
      <w:pPr>
        <w:pStyle w:val="OutlineL1"/>
        <w:keepNext/>
        <w:numPr>
          <w:ilvl w:val="0"/>
          <w:numId w:val="0"/>
        </w:numPr>
        <w:spacing w:after="0"/>
      </w:pPr>
      <w:bookmarkStart w:id="44" w:name="_Toc11174257"/>
      <w:bookmarkStart w:id="45" w:name="_Hlk11051111"/>
      <w:r w:rsidRPr="00F526A6">
        <w:rPr>
          <w:u w:val="none"/>
        </w:rPr>
        <w:t>XIII.</w:t>
      </w:r>
      <w:r>
        <w:rPr>
          <w:u w:val="none"/>
        </w:rPr>
        <w:t xml:space="preserve">      </w:t>
      </w:r>
      <w:r w:rsidR="007E53A1" w:rsidRPr="005F19CB">
        <w:t>WORKING CAPITAL</w:t>
      </w:r>
      <w:bookmarkEnd w:id="44"/>
    </w:p>
    <w:p w14:paraId="76DF15DE" w14:textId="77777777" w:rsidR="00F526A6" w:rsidRPr="00F526A6" w:rsidRDefault="00F526A6" w:rsidP="00F526A6">
      <w:pPr>
        <w:pStyle w:val="BodyText"/>
        <w:rPr>
          <w:lang w:eastAsia="en-US"/>
        </w:rPr>
      </w:pPr>
    </w:p>
    <w:bookmarkEnd w:id="45"/>
    <w:p w14:paraId="1071C036" w14:textId="77777777" w:rsidR="007E53A1" w:rsidRPr="005F19CB" w:rsidRDefault="007E53A1" w:rsidP="00F526A6">
      <w:pPr>
        <w:keepNext/>
        <w:spacing w:line="360" w:lineRule="auto"/>
        <w:ind w:left="720" w:hanging="720"/>
        <w:jc w:val="both"/>
        <w:rPr>
          <w:b/>
        </w:rPr>
      </w:pPr>
      <w:r w:rsidRPr="005F19CB">
        <w:rPr>
          <w:b/>
        </w:rPr>
        <w:t>Q.</w:t>
      </w:r>
      <w:r w:rsidRPr="005F19CB">
        <w:rPr>
          <w:b/>
        </w:rPr>
        <w:tab/>
        <w:t>PLEASE EXPLAIN THE CONCEPT OF WORKING CAPITAL AS IT RELATES TO A REGULATED UTILITY.</w:t>
      </w:r>
    </w:p>
    <w:p w14:paraId="76E789E4" w14:textId="77777777" w:rsidR="007E53A1" w:rsidRDefault="007E53A1" w:rsidP="002424B2">
      <w:pPr>
        <w:spacing w:line="360" w:lineRule="auto"/>
        <w:ind w:left="720" w:hanging="720"/>
        <w:jc w:val="both"/>
      </w:pPr>
      <w:r w:rsidRPr="005F19CB">
        <w:t>A.</w:t>
      </w:r>
      <w:r w:rsidRPr="005F19CB">
        <w:tab/>
        <w:t xml:space="preserve">Working capital for a regulated utility can be described as the average amount of capital (in excess of that used to finance net utility plant and other separately identified rate base components) necessary to operate the business. This capital bridges the gap from when costs are incurred </w:t>
      </w:r>
      <w:r>
        <w:t xml:space="preserve">by the Company </w:t>
      </w:r>
      <w:r w:rsidRPr="005F19CB">
        <w:t xml:space="preserve">to provide electric service </w:t>
      </w:r>
      <w:r w:rsidR="00993974">
        <w:t>but</w:t>
      </w:r>
      <w:r w:rsidRPr="005F19CB">
        <w:t xml:space="preserve"> the </w:t>
      </w:r>
      <w:r>
        <w:t xml:space="preserve">payments </w:t>
      </w:r>
      <w:r w:rsidR="00993974">
        <w:t xml:space="preserve">have not yet been </w:t>
      </w:r>
      <w:r>
        <w:t>received from customers</w:t>
      </w:r>
      <w:r w:rsidRPr="005F19CB">
        <w:t xml:space="preserve"> for that service</w:t>
      </w:r>
      <w:r>
        <w:t>.</w:t>
      </w:r>
      <w:r w:rsidR="00993974">
        <w:t xml:space="preserve"> </w:t>
      </w:r>
      <w:r>
        <w:t xml:space="preserve"> </w:t>
      </w:r>
      <w:r w:rsidRPr="005F19CB">
        <w:t>It also covers those items that must be financed by investors pending recovery from customers.  This is different from the definition of working capital as it is used in the ordinary business or accounting sense.  Working capital as applied to commercial enterprises is defined as current assets less current liabilities and is used for purposes of evaluating the liquidity of a commercial business at a given point in time.</w:t>
      </w:r>
    </w:p>
    <w:p w14:paraId="2BA1EB76" w14:textId="77777777" w:rsidR="007E53A1" w:rsidRPr="005F19CB" w:rsidRDefault="007E53A1" w:rsidP="007E53A1">
      <w:pPr>
        <w:suppressLineNumbers/>
        <w:spacing w:line="360" w:lineRule="auto"/>
        <w:ind w:left="720" w:hanging="720"/>
        <w:jc w:val="both"/>
      </w:pPr>
    </w:p>
    <w:p w14:paraId="7DD2DC9D" w14:textId="77777777" w:rsidR="007E53A1" w:rsidRPr="005F19CB" w:rsidRDefault="007E53A1" w:rsidP="007E53A1">
      <w:pPr>
        <w:spacing w:line="360" w:lineRule="auto"/>
        <w:ind w:left="720" w:hanging="720"/>
        <w:jc w:val="both"/>
        <w:rPr>
          <w:b/>
        </w:rPr>
      </w:pPr>
      <w:r w:rsidRPr="005F19CB">
        <w:rPr>
          <w:b/>
        </w:rPr>
        <w:t>Q.</w:t>
      </w:r>
      <w:r w:rsidRPr="005F19CB">
        <w:rPr>
          <w:b/>
        </w:rPr>
        <w:tab/>
        <w:t>WHAT IS INCLUDED IN THE COMPANY’S WORKING CAPITAL REQUIREMENT?</w:t>
      </w:r>
    </w:p>
    <w:p w14:paraId="1D666F92" w14:textId="77777777" w:rsidR="007E53A1" w:rsidRDefault="007E53A1" w:rsidP="007E53A1">
      <w:pPr>
        <w:spacing w:line="360" w:lineRule="auto"/>
        <w:ind w:left="720" w:hanging="720"/>
        <w:jc w:val="both"/>
      </w:pPr>
      <w:r w:rsidRPr="005F19CB">
        <w:t>A.</w:t>
      </w:r>
      <w:r w:rsidRPr="005F19CB">
        <w:tab/>
        <w:t xml:space="preserve">The working capital requirement included in this filing consists of </w:t>
      </w:r>
      <w:r w:rsidR="00112567">
        <w:t>13</w:t>
      </w:r>
      <w:r w:rsidRPr="005F19CB">
        <w:t xml:space="preserve">-month average balances of materials and supplies inventories, minimum bank balances, and prepayments.  </w:t>
      </w:r>
      <w:r w:rsidR="00AB48A0">
        <w:t>A</w:t>
      </w:r>
      <w:r w:rsidRPr="005F19CB">
        <w:t xml:space="preserve"> provision for cash working capital (i.e., the cash necessary to pay operating expenses prior to collection of revenues</w:t>
      </w:r>
      <w:r>
        <w:t xml:space="preserve"> net of payments</w:t>
      </w:r>
      <w:r w:rsidRPr="005F19CB">
        <w:t>) is included in overall working capital.</w:t>
      </w:r>
      <w:r>
        <w:t xml:space="preserve"> </w:t>
      </w:r>
      <w:r w:rsidR="00AB48A0">
        <w:t xml:space="preserve"> </w:t>
      </w:r>
      <w:r w:rsidRPr="005F19CB">
        <w:t>Exhibit_(</w:t>
      </w:r>
      <w:r>
        <w:t>DPP/SPA/MBR</w:t>
      </w:r>
      <w:r w:rsidRPr="005F19CB">
        <w:t>-4, Schedule 4, Workpaper 1)</w:t>
      </w:r>
      <w:r>
        <w:t xml:space="preserve"> provides a summary of the Company’s working capital components included in this filing. In addition, </w:t>
      </w:r>
      <w:r w:rsidRPr="005F19CB">
        <w:t>Exhibit_(</w:t>
      </w:r>
      <w:r>
        <w:t>DPP/SPA/MBR</w:t>
      </w:r>
      <w:r w:rsidRPr="005F19CB">
        <w:t xml:space="preserve">-1, Schedule </w:t>
      </w:r>
      <w:r w:rsidR="00B34C7F">
        <w:t>5</w:t>
      </w:r>
      <w:r>
        <w:t xml:space="preserve"> MFF</w:t>
      </w:r>
      <w:r w:rsidRPr="005F19CB">
        <w:t xml:space="preserve">) </w:t>
      </w:r>
      <w:r>
        <w:t>provides</w:t>
      </w:r>
      <w:r w:rsidRPr="005F19CB">
        <w:t xml:space="preserve"> the estimated cash working capital </w:t>
      </w:r>
      <w:r>
        <w:t>requirement related to</w:t>
      </w:r>
      <w:r w:rsidRPr="005F19CB">
        <w:t xml:space="preserve"> municipal franchise fees.  </w:t>
      </w:r>
    </w:p>
    <w:p w14:paraId="1E678BDF" w14:textId="77777777" w:rsidR="007E53A1" w:rsidRPr="005F19CB" w:rsidRDefault="007E53A1" w:rsidP="007E53A1">
      <w:pPr>
        <w:tabs>
          <w:tab w:val="left" w:pos="720"/>
        </w:tabs>
        <w:spacing w:line="360" w:lineRule="auto"/>
        <w:ind w:left="720" w:hanging="720"/>
        <w:jc w:val="both"/>
        <w:rPr>
          <w:b/>
        </w:rPr>
      </w:pPr>
      <w:r w:rsidRPr="005F19CB">
        <w:rPr>
          <w:b/>
        </w:rPr>
        <w:lastRenderedPageBreak/>
        <w:t>Q.</w:t>
      </w:r>
      <w:r w:rsidRPr="005F19CB">
        <w:rPr>
          <w:b/>
        </w:rPr>
        <w:tab/>
        <w:t>WHAT METHOD WAS USED IN COMPUTING THE COMPANY’S CASH WORKING CAPITAL REQUIREMENT FOR THE TEST PERIOD?</w:t>
      </w:r>
    </w:p>
    <w:p w14:paraId="056D9DCB" w14:textId="77777777" w:rsidR="00AB48A0" w:rsidRPr="005F19CB" w:rsidRDefault="007E53A1" w:rsidP="00AB48A0">
      <w:pPr>
        <w:tabs>
          <w:tab w:val="left" w:pos="720"/>
        </w:tabs>
        <w:spacing w:line="360" w:lineRule="auto"/>
        <w:ind w:left="720" w:hanging="720"/>
        <w:jc w:val="both"/>
      </w:pPr>
      <w:r w:rsidRPr="005F19CB">
        <w:t>A.</w:t>
      </w:r>
      <w:r w:rsidRPr="005F19CB">
        <w:tab/>
      </w:r>
      <w:r>
        <w:t>The Company</w:t>
      </w:r>
      <w:r w:rsidRPr="005F19CB">
        <w:t xml:space="preserve"> performed a lead-lag study to determine the estimated cash working capital requirement for the test period.  The study </w:t>
      </w:r>
      <w:r>
        <w:t>method</w:t>
      </w:r>
      <w:r w:rsidRPr="005F19CB">
        <w:t xml:space="preserve"> used </w:t>
      </w:r>
      <w:r>
        <w:t xml:space="preserve">in this filing </w:t>
      </w:r>
      <w:r w:rsidRPr="005F19CB">
        <w:t>is consistent with studies approved by this Commission</w:t>
      </w:r>
      <w:r>
        <w:t xml:space="preserve"> in prior rate case proceedings</w:t>
      </w:r>
      <w:r w:rsidRPr="005F19CB">
        <w:t xml:space="preserve">.  The lead-lag </w:t>
      </w:r>
      <w:r>
        <w:t>methodology</w:t>
      </w:r>
      <w:r w:rsidRPr="005F19CB">
        <w:t xml:space="preserve"> </w:t>
      </w:r>
      <w:r>
        <w:t xml:space="preserve">performed </w:t>
      </w:r>
      <w:r w:rsidRPr="005F19CB">
        <w:t xml:space="preserve">involves a study of the time lag between the date customers receive service from the Company and the date they pay for such service.  This is reduced by any offsetting lead </w:t>
      </w:r>
      <w:r>
        <w:t xml:space="preserve">time </w:t>
      </w:r>
      <w:r w:rsidRPr="005F19CB">
        <w:t xml:space="preserve">between the date suppliers and employees render service to the Company and the date the Company pays for such services.  </w:t>
      </w:r>
    </w:p>
    <w:p w14:paraId="594B1590" w14:textId="77777777" w:rsidR="007E53A1" w:rsidRPr="005F19CB" w:rsidRDefault="007E53A1" w:rsidP="008837CD">
      <w:pPr>
        <w:tabs>
          <w:tab w:val="left" w:pos="720"/>
        </w:tabs>
        <w:spacing w:line="360" w:lineRule="auto"/>
        <w:ind w:left="720" w:hanging="720"/>
        <w:jc w:val="both"/>
      </w:pPr>
    </w:p>
    <w:p w14:paraId="30872495" w14:textId="1AA7C541" w:rsidR="007E53A1" w:rsidRDefault="007E53A1" w:rsidP="00AB48A0">
      <w:pPr>
        <w:tabs>
          <w:tab w:val="left" w:pos="720"/>
        </w:tabs>
        <w:spacing w:line="360" w:lineRule="auto"/>
        <w:ind w:left="720" w:hanging="720"/>
        <w:jc w:val="both"/>
      </w:pPr>
      <w:r w:rsidRPr="005F19CB">
        <w:tab/>
        <w:t>Th</w:t>
      </w:r>
      <w:r>
        <w:t>is</w:t>
      </w:r>
      <w:r w:rsidRPr="005F19CB">
        <w:t xml:space="preserve"> lead-lag </w:t>
      </w:r>
      <w:r>
        <w:t>methodology</w:t>
      </w:r>
      <w:r w:rsidRPr="005F19CB">
        <w:t xml:space="preserve"> is generally accepted as the most reliable method for determining a cash working capital requirement and </w:t>
      </w:r>
      <w:r>
        <w:t xml:space="preserve">has historically been </w:t>
      </w:r>
      <w:r w:rsidRPr="005F19CB">
        <w:t>the stated preference of this Commission.  One of the most important aspects of th</w:t>
      </w:r>
      <w:r>
        <w:t>is methodology</w:t>
      </w:r>
      <w:r w:rsidRPr="005F19CB">
        <w:t xml:space="preserve"> is that it provides specific analysis of day-to-day operations of the Company, and the results are applied to specific Company </w:t>
      </w:r>
      <w:r>
        <w:t xml:space="preserve">cost of service </w:t>
      </w:r>
      <w:r w:rsidRPr="005F19CB">
        <w:t xml:space="preserve">accounts.  </w:t>
      </w:r>
      <w:r>
        <w:t>It</w:t>
      </w:r>
      <w:r w:rsidRPr="005F19CB">
        <w:t xml:space="preserve"> does not rely on point-in-time balances from historical accounting records; rather, it provides a picture of the average flow of funds a utility requires in its operating cycle</w:t>
      </w:r>
      <w:r>
        <w:t xml:space="preserve"> which can be applied to projected expenses to determine cash working capital</w:t>
      </w:r>
      <w:r w:rsidRPr="005F19CB">
        <w:t xml:space="preserve">.  Although this approach is much more time-consuming than some other methods, it produces a more refined analysis.  A complete description of the lead-lag study is included in </w:t>
      </w:r>
      <w:r w:rsidR="00F526A6" w:rsidRPr="003E0038">
        <w:t>Appendix</w:t>
      </w:r>
      <w:r w:rsidR="00F526A6">
        <w:t xml:space="preserve"> </w:t>
      </w:r>
      <w:r w:rsidR="00F526A6" w:rsidRPr="003E0038">
        <w:t>Exhibit</w:t>
      </w:r>
      <w:r w:rsidRPr="003E0038">
        <w:t xml:space="preserve"> 3.</w:t>
      </w:r>
    </w:p>
    <w:p w14:paraId="4B9337DA" w14:textId="77777777" w:rsidR="007E53A1" w:rsidRDefault="007E53A1" w:rsidP="008837CD">
      <w:pPr>
        <w:spacing w:line="360" w:lineRule="auto"/>
      </w:pPr>
    </w:p>
    <w:p w14:paraId="69D28A39" w14:textId="77777777" w:rsidR="007E53A1" w:rsidRPr="005F19CB" w:rsidRDefault="007E53A1" w:rsidP="008837CD">
      <w:pPr>
        <w:keepNext/>
        <w:tabs>
          <w:tab w:val="left" w:pos="720"/>
        </w:tabs>
        <w:spacing w:line="360" w:lineRule="auto"/>
        <w:ind w:left="720" w:hanging="720"/>
        <w:jc w:val="both"/>
        <w:rPr>
          <w:rFonts w:ascii="Times New Roman Bold" w:hAnsi="Times New Roman Bold" w:hint="eastAsia"/>
          <w:b/>
          <w:caps/>
        </w:rPr>
      </w:pPr>
      <w:r w:rsidRPr="005F19CB">
        <w:rPr>
          <w:rFonts w:ascii="Times New Roman Bold" w:hAnsi="Times New Roman Bold"/>
          <w:b/>
          <w:caps/>
        </w:rPr>
        <w:t>Q.</w:t>
      </w:r>
      <w:r w:rsidRPr="005F19CB">
        <w:rPr>
          <w:rFonts w:ascii="Times New Roman Bold" w:hAnsi="Times New Roman Bold"/>
          <w:b/>
          <w:caps/>
        </w:rPr>
        <w:tab/>
        <w:t>Does this conclude your testimony?</w:t>
      </w:r>
    </w:p>
    <w:p w14:paraId="4D0D995A" w14:textId="77777777" w:rsidR="007E53A1" w:rsidRDefault="007E53A1" w:rsidP="008837CD">
      <w:pPr>
        <w:keepNext/>
        <w:spacing w:line="360" w:lineRule="auto"/>
        <w:ind w:left="720" w:hanging="720"/>
        <w:jc w:val="both"/>
      </w:pPr>
      <w:r w:rsidRPr="005F19CB">
        <w:t>A.</w:t>
      </w:r>
      <w:r w:rsidRPr="005F19CB">
        <w:tab/>
        <w:t>Yes.</w:t>
      </w:r>
      <w:r>
        <w:t xml:space="preserve"> </w:t>
      </w:r>
    </w:p>
    <w:sectPr w:rsidR="007E53A1" w:rsidSect="00972855">
      <w:headerReference w:type="default" r:id="rId11"/>
      <w:footerReference w:type="default" r:id="rId12"/>
      <w:headerReference w:type="first" r:id="rId13"/>
      <w:footerReference w:type="first" r:id="rId14"/>
      <w:pgSz w:w="12240" w:h="15840" w:code="1"/>
      <w:pgMar w:top="1728" w:right="1440" w:bottom="1728"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1F919" w14:textId="77777777" w:rsidR="00F95808" w:rsidRDefault="00F95808">
      <w:r>
        <w:separator/>
      </w:r>
    </w:p>
  </w:endnote>
  <w:endnote w:type="continuationSeparator" w:id="0">
    <w:p w14:paraId="237482D9" w14:textId="77777777" w:rsidR="00F95808" w:rsidRDefault="00F9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D21A5" w14:textId="77777777" w:rsidR="00F95808" w:rsidRDefault="00F95808" w:rsidP="007A275F">
    <w:pPr>
      <w:pStyle w:val="Footer"/>
    </w:pPr>
  </w:p>
  <w:p w14:paraId="17EB6BB3" w14:textId="159D9A17" w:rsidR="00F95808" w:rsidRDefault="00F95808" w:rsidP="007A275F">
    <w:pPr>
      <w:pStyle w:val="Footer"/>
      <w:jc w:val="center"/>
    </w:pPr>
    <w:r>
      <w:t>Direct Testimony of David P. Poroch, Sarah P. Adams, and Michael B. Robinson</w:t>
    </w:r>
  </w:p>
  <w:p w14:paraId="3D8F6C52" w14:textId="77777777" w:rsidR="00F95808" w:rsidRDefault="00F95808" w:rsidP="007A275F">
    <w:pPr>
      <w:pStyle w:val="Footer"/>
      <w:jc w:val="center"/>
    </w:pPr>
    <w:r>
      <w:t xml:space="preserve">On Behalf of Georgia Power Company </w:t>
    </w:r>
  </w:p>
  <w:p w14:paraId="0810C1C0" w14:textId="1E5F2C4B" w:rsidR="00F95808" w:rsidRDefault="00F95808" w:rsidP="007A275F">
    <w:pPr>
      <w:pStyle w:val="Footer"/>
      <w:jc w:val="center"/>
    </w:pPr>
    <w:r>
      <w:t xml:space="preserve">Docket No. </w:t>
    </w:r>
    <w:r w:rsidRPr="0090208E">
      <w:t>42516</w:t>
    </w:r>
  </w:p>
  <w:sdt>
    <w:sdtPr>
      <w:id w:val="738137494"/>
      <w:docPartObj>
        <w:docPartGallery w:val="Page Numbers (Bottom of Page)"/>
        <w:docPartUnique/>
      </w:docPartObj>
    </w:sdtPr>
    <w:sdtEndPr/>
    <w:sdtContent>
      <w:sdt>
        <w:sdtPr>
          <w:id w:val="1728636285"/>
          <w:docPartObj>
            <w:docPartGallery w:val="Page Numbers (Top of Page)"/>
            <w:docPartUnique/>
          </w:docPartObj>
        </w:sdtPr>
        <w:sdtEndPr/>
        <w:sdtContent>
          <w:p w14:paraId="38EDCCEF" w14:textId="5EEEBE8B" w:rsidR="00F95808" w:rsidRDefault="00F95808">
            <w:pPr>
              <w:pStyle w:val="Footer"/>
              <w:jc w:val="center"/>
            </w:pPr>
            <w:r>
              <w:t>Page</w:t>
            </w:r>
            <w:r w:rsidRPr="00363BA0">
              <w:t xml:space="preserve"> </w:t>
            </w:r>
            <w:r w:rsidRPr="00363BA0">
              <w:rPr>
                <w:bCs/>
                <w:sz w:val="24"/>
                <w:szCs w:val="24"/>
              </w:rPr>
              <w:fldChar w:fldCharType="begin"/>
            </w:r>
            <w:r w:rsidRPr="00363BA0">
              <w:rPr>
                <w:bCs/>
              </w:rPr>
              <w:instrText xml:space="preserve"> PAGE </w:instrText>
            </w:r>
            <w:r w:rsidRPr="00363BA0">
              <w:rPr>
                <w:bCs/>
                <w:sz w:val="24"/>
                <w:szCs w:val="24"/>
              </w:rPr>
              <w:fldChar w:fldCharType="separate"/>
            </w:r>
            <w:r w:rsidRPr="00363BA0">
              <w:rPr>
                <w:bCs/>
                <w:noProof/>
              </w:rPr>
              <w:t>2</w:t>
            </w:r>
            <w:r w:rsidRPr="00363BA0">
              <w:rPr>
                <w:bCs/>
                <w:sz w:val="24"/>
                <w:szCs w:val="24"/>
              </w:rPr>
              <w:fldChar w:fldCharType="end"/>
            </w:r>
            <w:r>
              <w:t xml:space="preserve"> of </w:t>
            </w:r>
            <w:r w:rsidRPr="00363BA0">
              <w:rPr>
                <w:bCs/>
                <w:sz w:val="24"/>
                <w:szCs w:val="24"/>
              </w:rPr>
              <w:fldChar w:fldCharType="begin"/>
            </w:r>
            <w:r w:rsidRPr="00363BA0">
              <w:rPr>
                <w:bCs/>
              </w:rPr>
              <w:instrText xml:space="preserve"> NUMPAGES  </w:instrText>
            </w:r>
            <w:r w:rsidRPr="00363BA0">
              <w:rPr>
                <w:bCs/>
                <w:sz w:val="24"/>
                <w:szCs w:val="24"/>
              </w:rPr>
              <w:fldChar w:fldCharType="separate"/>
            </w:r>
            <w:r w:rsidRPr="00363BA0">
              <w:rPr>
                <w:bCs/>
                <w:noProof/>
              </w:rPr>
              <w:t>2</w:t>
            </w:r>
            <w:r w:rsidRPr="00363BA0">
              <w:rPr>
                <w:bCs/>
                <w:sz w:val="24"/>
                <w:szCs w:val="24"/>
              </w:rPr>
              <w:fldChar w:fldCharType="end"/>
            </w:r>
          </w:p>
        </w:sdtContent>
      </w:sdt>
    </w:sdtContent>
  </w:sdt>
  <w:p w14:paraId="59F273F6" w14:textId="77777777" w:rsidR="00F95808" w:rsidRDefault="00F95808" w:rsidP="00B655D9">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CBBEF" w14:textId="77777777" w:rsidR="00F95808" w:rsidRDefault="00F95808">
    <w:pPr>
      <w:pStyle w:val="Footer"/>
      <w:jc w:val="center"/>
    </w:pPr>
    <w:r>
      <w:t>____________________________________________________________________________________________</w:t>
    </w:r>
  </w:p>
  <w:p w14:paraId="14D2941F" w14:textId="77777777" w:rsidR="00F95808" w:rsidRDefault="00F95808">
    <w:pPr>
      <w:pStyle w:val="Footer"/>
      <w:jc w:val="center"/>
    </w:pPr>
    <w:r>
      <w:t>Direct Testimony of Ann P. Daiss</w:t>
    </w:r>
  </w:p>
  <w:p w14:paraId="6D8929FF" w14:textId="77777777" w:rsidR="00F95808" w:rsidRDefault="00F95808">
    <w:pPr>
      <w:pStyle w:val="Footer"/>
      <w:jc w:val="center"/>
    </w:pPr>
    <w:r>
      <w:t xml:space="preserve">On Behalf of Georgia Power Company </w:t>
    </w:r>
  </w:p>
  <w:p w14:paraId="421D1971" w14:textId="77777777" w:rsidR="00F95808" w:rsidRDefault="00F95808">
    <w:pPr>
      <w:pStyle w:val="Footer"/>
      <w:jc w:val="center"/>
    </w:pPr>
    <w:r>
      <w:t>Docket No. 23540-U</w:t>
    </w:r>
  </w:p>
  <w:p w14:paraId="7165DCFD" w14:textId="77777777" w:rsidR="00F95808" w:rsidRDefault="00F9580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noProof/>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BAF55" w14:textId="77777777" w:rsidR="00F95808" w:rsidRDefault="00F95808">
      <w:r>
        <w:separator/>
      </w:r>
    </w:p>
  </w:footnote>
  <w:footnote w:type="continuationSeparator" w:id="0">
    <w:p w14:paraId="6BAC2B74" w14:textId="77777777" w:rsidR="00F95808" w:rsidRDefault="00F95808">
      <w:r>
        <w:continuationSeparator/>
      </w:r>
    </w:p>
  </w:footnote>
  <w:footnote w:id="1">
    <w:p w14:paraId="4C4ACD10" w14:textId="77777777" w:rsidR="00F95808" w:rsidRDefault="00F95808">
      <w:pPr>
        <w:pStyle w:val="FootnoteText"/>
      </w:pPr>
      <w:r>
        <w:rPr>
          <w:rStyle w:val="FootnoteReference"/>
        </w:rPr>
        <w:footnoteRef/>
      </w:r>
      <w:r>
        <w:t xml:space="preserve"> Self-healing networks are also known as </w:t>
      </w:r>
      <w:r w:rsidRPr="006D0233">
        <w:t>FLISR</w:t>
      </w:r>
      <w:r>
        <w:t xml:space="preserve"> (Fault Location Isolation and Service Restoration) schemes.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59EF" w14:textId="5E12D164" w:rsidR="00F95808" w:rsidRDefault="00F95808" w:rsidP="007E53A1">
    <w:pPr>
      <w:pStyle w:val="Header"/>
      <w:tabs>
        <w:tab w:val="clear" w:pos="8640"/>
        <w:tab w:val="right" w:pos="936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91C96" w14:textId="77777777" w:rsidR="00F95808" w:rsidRDefault="00F95808">
    <w:pPr>
      <w:pStyle w:val="Header"/>
      <w:rPr>
        <w:b/>
      </w:rPr>
    </w:pPr>
    <w:r>
      <w:rPr>
        <w:b/>
      </w:rPr>
      <w:t xml:space="preserve">DRAFT </w:t>
    </w:r>
    <w:r>
      <w:rPr>
        <w:b/>
      </w:rPr>
      <w:tab/>
    </w:r>
  </w:p>
  <w:p w14:paraId="691A7CE2" w14:textId="77777777" w:rsidR="00F95808" w:rsidRDefault="00F95808">
    <w:pPr>
      <w:pStyle w:val="Header"/>
      <w:rPr>
        <w:b/>
      </w:rPr>
    </w:pPr>
    <w:r>
      <w:rPr>
        <w:b/>
      </w:rPr>
      <w:t>ATTORNEY WORK PRODUCT</w:t>
    </w:r>
    <w:r>
      <w:rPr>
        <w:b/>
      </w:rPr>
      <w:tab/>
    </w:r>
  </w:p>
  <w:p w14:paraId="3835D480" w14:textId="77777777" w:rsidR="00F95808" w:rsidRDefault="00F95808">
    <w:pPr>
      <w:pStyle w:val="Header"/>
      <w:rPr>
        <w:b/>
      </w:rPr>
    </w:pPr>
    <w:r>
      <w:rPr>
        <w:b/>
      </w:rPr>
      <w:t>CONFIDENTIAL AND PRIVILEGED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0298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2B1623"/>
    <w:multiLevelType w:val="hybridMultilevel"/>
    <w:tmpl w:val="D7509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4C72EA"/>
    <w:multiLevelType w:val="hybridMultilevel"/>
    <w:tmpl w:val="B9323C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962E20"/>
    <w:multiLevelType w:val="hybridMultilevel"/>
    <w:tmpl w:val="9650238A"/>
    <w:lvl w:ilvl="0" w:tplc="DC2AEC0E">
      <w:start w:val="1"/>
      <w:numFmt w:val="bullet"/>
      <w:lvlText w:val=""/>
      <w:lvlJc w:val="left"/>
      <w:pPr>
        <w:ind w:left="1444" w:hanging="360"/>
      </w:pPr>
      <w:rPr>
        <w:rFonts w:ascii="Symbol" w:hAnsi="Symbol" w:hint="default"/>
      </w:rPr>
    </w:lvl>
    <w:lvl w:ilvl="1" w:tplc="5DC6F130" w:tentative="1">
      <w:start w:val="1"/>
      <w:numFmt w:val="bullet"/>
      <w:lvlText w:val="o"/>
      <w:lvlJc w:val="left"/>
      <w:pPr>
        <w:ind w:left="2164" w:hanging="360"/>
      </w:pPr>
      <w:rPr>
        <w:rFonts w:ascii="Courier New" w:hAnsi="Courier New" w:cs="Courier New" w:hint="default"/>
      </w:rPr>
    </w:lvl>
    <w:lvl w:ilvl="2" w:tplc="4434D25A" w:tentative="1">
      <w:start w:val="1"/>
      <w:numFmt w:val="bullet"/>
      <w:lvlText w:val=""/>
      <w:lvlJc w:val="left"/>
      <w:pPr>
        <w:ind w:left="2884" w:hanging="360"/>
      </w:pPr>
      <w:rPr>
        <w:rFonts w:ascii="Wingdings" w:hAnsi="Wingdings" w:hint="default"/>
      </w:rPr>
    </w:lvl>
    <w:lvl w:ilvl="3" w:tplc="77D23A52" w:tentative="1">
      <w:start w:val="1"/>
      <w:numFmt w:val="bullet"/>
      <w:lvlText w:val=""/>
      <w:lvlJc w:val="left"/>
      <w:pPr>
        <w:ind w:left="3604" w:hanging="360"/>
      </w:pPr>
      <w:rPr>
        <w:rFonts w:ascii="Symbol" w:hAnsi="Symbol" w:hint="default"/>
      </w:rPr>
    </w:lvl>
    <w:lvl w:ilvl="4" w:tplc="C53634DC" w:tentative="1">
      <w:start w:val="1"/>
      <w:numFmt w:val="bullet"/>
      <w:lvlText w:val="o"/>
      <w:lvlJc w:val="left"/>
      <w:pPr>
        <w:ind w:left="4324" w:hanging="360"/>
      </w:pPr>
      <w:rPr>
        <w:rFonts w:ascii="Courier New" w:hAnsi="Courier New" w:cs="Courier New" w:hint="default"/>
      </w:rPr>
    </w:lvl>
    <w:lvl w:ilvl="5" w:tplc="375E9000" w:tentative="1">
      <w:start w:val="1"/>
      <w:numFmt w:val="bullet"/>
      <w:lvlText w:val=""/>
      <w:lvlJc w:val="left"/>
      <w:pPr>
        <w:ind w:left="5044" w:hanging="360"/>
      </w:pPr>
      <w:rPr>
        <w:rFonts w:ascii="Wingdings" w:hAnsi="Wingdings" w:hint="default"/>
      </w:rPr>
    </w:lvl>
    <w:lvl w:ilvl="6" w:tplc="ED2C5FF8" w:tentative="1">
      <w:start w:val="1"/>
      <w:numFmt w:val="bullet"/>
      <w:lvlText w:val=""/>
      <w:lvlJc w:val="left"/>
      <w:pPr>
        <w:ind w:left="5764" w:hanging="360"/>
      </w:pPr>
      <w:rPr>
        <w:rFonts w:ascii="Symbol" w:hAnsi="Symbol" w:hint="default"/>
      </w:rPr>
    </w:lvl>
    <w:lvl w:ilvl="7" w:tplc="403229A0" w:tentative="1">
      <w:start w:val="1"/>
      <w:numFmt w:val="bullet"/>
      <w:lvlText w:val="o"/>
      <w:lvlJc w:val="left"/>
      <w:pPr>
        <w:ind w:left="6484" w:hanging="360"/>
      </w:pPr>
      <w:rPr>
        <w:rFonts w:ascii="Courier New" w:hAnsi="Courier New" w:cs="Courier New" w:hint="default"/>
      </w:rPr>
    </w:lvl>
    <w:lvl w:ilvl="8" w:tplc="21D4174A" w:tentative="1">
      <w:start w:val="1"/>
      <w:numFmt w:val="bullet"/>
      <w:lvlText w:val=""/>
      <w:lvlJc w:val="left"/>
      <w:pPr>
        <w:ind w:left="7204" w:hanging="360"/>
      </w:pPr>
      <w:rPr>
        <w:rFonts w:ascii="Wingdings" w:hAnsi="Wingdings" w:hint="default"/>
      </w:rPr>
    </w:lvl>
  </w:abstractNum>
  <w:abstractNum w:abstractNumId="4" w15:restartNumberingAfterBreak="0">
    <w:nsid w:val="20E64F82"/>
    <w:multiLevelType w:val="hybridMultilevel"/>
    <w:tmpl w:val="09869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5613B2"/>
    <w:multiLevelType w:val="hybridMultilevel"/>
    <w:tmpl w:val="8CB43BF2"/>
    <w:lvl w:ilvl="0" w:tplc="C4DEF3F4">
      <w:start w:val="17"/>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B33BE"/>
    <w:multiLevelType w:val="hybridMultilevel"/>
    <w:tmpl w:val="7A9E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A5274F"/>
    <w:multiLevelType w:val="hybridMultilevel"/>
    <w:tmpl w:val="89447978"/>
    <w:lvl w:ilvl="0" w:tplc="C4DEF3F4">
      <w:start w:val="1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27440"/>
    <w:multiLevelType w:val="singleLevel"/>
    <w:tmpl w:val="83BE81FA"/>
    <w:lvl w:ilvl="0">
      <w:start w:val="17"/>
      <w:numFmt w:val="upperLetter"/>
      <w:pStyle w:val="TestimonyQuestion"/>
      <w:lvlText w:val="%1."/>
      <w:lvlJc w:val="left"/>
      <w:pPr>
        <w:tabs>
          <w:tab w:val="num" w:pos="720"/>
        </w:tabs>
        <w:ind w:left="720" w:hanging="720"/>
      </w:pPr>
      <w:rPr>
        <w:rFonts w:hint="default"/>
      </w:rPr>
    </w:lvl>
  </w:abstractNum>
  <w:abstractNum w:abstractNumId="9" w15:restartNumberingAfterBreak="0">
    <w:nsid w:val="311E7AB7"/>
    <w:multiLevelType w:val="hybridMultilevel"/>
    <w:tmpl w:val="4484D356"/>
    <w:lvl w:ilvl="0" w:tplc="7E969F26">
      <w:start w:val="1"/>
      <w:numFmt w:val="bullet"/>
      <w:lvlText w:val=""/>
      <w:lvlJc w:val="left"/>
      <w:pPr>
        <w:ind w:left="1440" w:hanging="360"/>
      </w:pPr>
      <w:rPr>
        <w:rFonts w:ascii="Symbol" w:hAnsi="Symbol" w:hint="default"/>
      </w:rPr>
    </w:lvl>
    <w:lvl w:ilvl="1" w:tplc="11229BCA">
      <w:start w:val="1"/>
      <w:numFmt w:val="bullet"/>
      <w:lvlText w:val="o"/>
      <w:lvlJc w:val="left"/>
      <w:pPr>
        <w:ind w:left="2160" w:hanging="360"/>
      </w:pPr>
      <w:rPr>
        <w:rFonts w:ascii="Courier New" w:hAnsi="Courier New" w:cs="Courier New" w:hint="default"/>
      </w:rPr>
    </w:lvl>
    <w:lvl w:ilvl="2" w:tplc="F9689A12" w:tentative="1">
      <w:start w:val="1"/>
      <w:numFmt w:val="bullet"/>
      <w:lvlText w:val=""/>
      <w:lvlJc w:val="left"/>
      <w:pPr>
        <w:ind w:left="2880" w:hanging="360"/>
      </w:pPr>
      <w:rPr>
        <w:rFonts w:ascii="Wingdings" w:hAnsi="Wingdings" w:hint="default"/>
      </w:rPr>
    </w:lvl>
    <w:lvl w:ilvl="3" w:tplc="46521296" w:tentative="1">
      <w:start w:val="1"/>
      <w:numFmt w:val="bullet"/>
      <w:lvlText w:val=""/>
      <w:lvlJc w:val="left"/>
      <w:pPr>
        <w:ind w:left="3600" w:hanging="360"/>
      </w:pPr>
      <w:rPr>
        <w:rFonts w:ascii="Symbol" w:hAnsi="Symbol" w:hint="default"/>
      </w:rPr>
    </w:lvl>
    <w:lvl w:ilvl="4" w:tplc="45A2C6AE" w:tentative="1">
      <w:start w:val="1"/>
      <w:numFmt w:val="bullet"/>
      <w:lvlText w:val="o"/>
      <w:lvlJc w:val="left"/>
      <w:pPr>
        <w:ind w:left="4320" w:hanging="360"/>
      </w:pPr>
      <w:rPr>
        <w:rFonts w:ascii="Courier New" w:hAnsi="Courier New" w:cs="Courier New" w:hint="default"/>
      </w:rPr>
    </w:lvl>
    <w:lvl w:ilvl="5" w:tplc="84701D0C" w:tentative="1">
      <w:start w:val="1"/>
      <w:numFmt w:val="bullet"/>
      <w:lvlText w:val=""/>
      <w:lvlJc w:val="left"/>
      <w:pPr>
        <w:ind w:left="5040" w:hanging="360"/>
      </w:pPr>
      <w:rPr>
        <w:rFonts w:ascii="Wingdings" w:hAnsi="Wingdings" w:hint="default"/>
      </w:rPr>
    </w:lvl>
    <w:lvl w:ilvl="6" w:tplc="CF76687A" w:tentative="1">
      <w:start w:val="1"/>
      <w:numFmt w:val="bullet"/>
      <w:lvlText w:val=""/>
      <w:lvlJc w:val="left"/>
      <w:pPr>
        <w:ind w:left="5760" w:hanging="360"/>
      </w:pPr>
      <w:rPr>
        <w:rFonts w:ascii="Symbol" w:hAnsi="Symbol" w:hint="default"/>
      </w:rPr>
    </w:lvl>
    <w:lvl w:ilvl="7" w:tplc="7F1484FA" w:tentative="1">
      <w:start w:val="1"/>
      <w:numFmt w:val="bullet"/>
      <w:lvlText w:val="o"/>
      <w:lvlJc w:val="left"/>
      <w:pPr>
        <w:ind w:left="6480" w:hanging="360"/>
      </w:pPr>
      <w:rPr>
        <w:rFonts w:ascii="Courier New" w:hAnsi="Courier New" w:cs="Courier New" w:hint="default"/>
      </w:rPr>
    </w:lvl>
    <w:lvl w:ilvl="8" w:tplc="0F7E9008" w:tentative="1">
      <w:start w:val="1"/>
      <w:numFmt w:val="bullet"/>
      <w:lvlText w:val=""/>
      <w:lvlJc w:val="left"/>
      <w:pPr>
        <w:ind w:left="7200" w:hanging="360"/>
      </w:pPr>
      <w:rPr>
        <w:rFonts w:ascii="Wingdings" w:hAnsi="Wingdings" w:hint="default"/>
      </w:rPr>
    </w:lvl>
  </w:abstractNum>
  <w:abstractNum w:abstractNumId="10" w15:restartNumberingAfterBreak="0">
    <w:nsid w:val="332849F4"/>
    <w:multiLevelType w:val="hybridMultilevel"/>
    <w:tmpl w:val="94724442"/>
    <w:lvl w:ilvl="0" w:tplc="44722FC2">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5604F"/>
    <w:multiLevelType w:val="hybridMultilevel"/>
    <w:tmpl w:val="E17E27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DC5967"/>
    <w:multiLevelType w:val="hybridMultilevel"/>
    <w:tmpl w:val="EB248C2A"/>
    <w:lvl w:ilvl="0" w:tplc="C23E67E0">
      <w:start w:val="1"/>
      <w:numFmt w:val="bullet"/>
      <w:lvlText w:val=""/>
      <w:lvlJc w:val="left"/>
      <w:pPr>
        <w:ind w:left="1440" w:hanging="360"/>
      </w:pPr>
      <w:rPr>
        <w:rFonts w:ascii="Symbol" w:hAnsi="Symbol" w:hint="default"/>
      </w:rPr>
    </w:lvl>
    <w:lvl w:ilvl="1" w:tplc="743C8CD6" w:tentative="1">
      <w:start w:val="1"/>
      <w:numFmt w:val="bullet"/>
      <w:lvlText w:val="o"/>
      <w:lvlJc w:val="left"/>
      <w:pPr>
        <w:ind w:left="2160" w:hanging="360"/>
      </w:pPr>
      <w:rPr>
        <w:rFonts w:ascii="Courier New" w:hAnsi="Courier New" w:hint="default"/>
      </w:rPr>
    </w:lvl>
    <w:lvl w:ilvl="2" w:tplc="5B08AA08" w:tentative="1">
      <w:start w:val="1"/>
      <w:numFmt w:val="bullet"/>
      <w:lvlText w:val=""/>
      <w:lvlJc w:val="left"/>
      <w:pPr>
        <w:ind w:left="2880" w:hanging="360"/>
      </w:pPr>
      <w:rPr>
        <w:rFonts w:ascii="Wingdings" w:hAnsi="Wingdings" w:hint="default"/>
      </w:rPr>
    </w:lvl>
    <w:lvl w:ilvl="3" w:tplc="68E22C98" w:tentative="1">
      <w:start w:val="1"/>
      <w:numFmt w:val="bullet"/>
      <w:lvlText w:val=""/>
      <w:lvlJc w:val="left"/>
      <w:pPr>
        <w:ind w:left="3600" w:hanging="360"/>
      </w:pPr>
      <w:rPr>
        <w:rFonts w:ascii="Symbol" w:hAnsi="Symbol" w:hint="default"/>
      </w:rPr>
    </w:lvl>
    <w:lvl w:ilvl="4" w:tplc="19A89FEA" w:tentative="1">
      <w:start w:val="1"/>
      <w:numFmt w:val="bullet"/>
      <w:lvlText w:val="o"/>
      <w:lvlJc w:val="left"/>
      <w:pPr>
        <w:ind w:left="4320" w:hanging="360"/>
      </w:pPr>
      <w:rPr>
        <w:rFonts w:ascii="Courier New" w:hAnsi="Courier New" w:hint="default"/>
      </w:rPr>
    </w:lvl>
    <w:lvl w:ilvl="5" w:tplc="5C72FA0E" w:tentative="1">
      <w:start w:val="1"/>
      <w:numFmt w:val="bullet"/>
      <w:lvlText w:val=""/>
      <w:lvlJc w:val="left"/>
      <w:pPr>
        <w:ind w:left="5040" w:hanging="360"/>
      </w:pPr>
      <w:rPr>
        <w:rFonts w:ascii="Wingdings" w:hAnsi="Wingdings" w:hint="default"/>
      </w:rPr>
    </w:lvl>
    <w:lvl w:ilvl="6" w:tplc="AF36198E" w:tentative="1">
      <w:start w:val="1"/>
      <w:numFmt w:val="bullet"/>
      <w:lvlText w:val=""/>
      <w:lvlJc w:val="left"/>
      <w:pPr>
        <w:ind w:left="5760" w:hanging="360"/>
      </w:pPr>
      <w:rPr>
        <w:rFonts w:ascii="Symbol" w:hAnsi="Symbol" w:hint="default"/>
      </w:rPr>
    </w:lvl>
    <w:lvl w:ilvl="7" w:tplc="A33CADFE" w:tentative="1">
      <w:start w:val="1"/>
      <w:numFmt w:val="bullet"/>
      <w:lvlText w:val="o"/>
      <w:lvlJc w:val="left"/>
      <w:pPr>
        <w:ind w:left="6480" w:hanging="360"/>
      </w:pPr>
      <w:rPr>
        <w:rFonts w:ascii="Courier New" w:hAnsi="Courier New" w:hint="default"/>
      </w:rPr>
    </w:lvl>
    <w:lvl w:ilvl="8" w:tplc="84AA15E6" w:tentative="1">
      <w:start w:val="1"/>
      <w:numFmt w:val="bullet"/>
      <w:lvlText w:val=""/>
      <w:lvlJc w:val="left"/>
      <w:pPr>
        <w:ind w:left="7200" w:hanging="360"/>
      </w:pPr>
      <w:rPr>
        <w:rFonts w:ascii="Wingdings" w:hAnsi="Wingdings" w:hint="default"/>
      </w:rPr>
    </w:lvl>
  </w:abstractNum>
  <w:abstractNum w:abstractNumId="13" w15:restartNumberingAfterBreak="0">
    <w:nsid w:val="390123DA"/>
    <w:multiLevelType w:val="hybridMultilevel"/>
    <w:tmpl w:val="4A60B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BF2650"/>
    <w:multiLevelType w:val="multilevel"/>
    <w:tmpl w:val="18BAFE18"/>
    <w:lvl w:ilvl="0">
      <w:start w:val="1"/>
      <w:numFmt w:val="upperRoman"/>
      <w:pStyle w:val="StandardL1"/>
      <w:suff w:val="nothing"/>
      <w:lvlText w:val="%1."/>
      <w:lvlJc w:val="left"/>
      <w:pPr>
        <w:ind w:left="0" w:firstLine="0"/>
      </w:pPr>
      <w:rPr>
        <w:rFonts w:hint="default"/>
        <w:b/>
        <w:i w:val="0"/>
        <w:caps/>
        <w:smallCaps w:val="0"/>
        <w:u w:val="none"/>
      </w:rPr>
    </w:lvl>
    <w:lvl w:ilvl="1">
      <w:start w:val="1"/>
      <w:numFmt w:val="decimal"/>
      <w:lvlRestart w:val="0"/>
      <w:pStyle w:val="StandardL2"/>
      <w:lvlText w:val="Q."/>
      <w:lvlJc w:val="left"/>
      <w:pPr>
        <w:tabs>
          <w:tab w:val="num" w:pos="720"/>
        </w:tabs>
        <w:ind w:left="720" w:hanging="720"/>
      </w:pPr>
      <w:rPr>
        <w:b/>
        <w:i w:val="0"/>
        <w:caps/>
        <w:smallCaps w:val="0"/>
        <w:u w:val="none"/>
      </w:rPr>
    </w:lvl>
    <w:lvl w:ilvl="2">
      <w:start w:val="1"/>
      <w:numFmt w:val="decimal"/>
      <w:lvlRestart w:val="0"/>
      <w:pStyle w:val="StandardL3"/>
      <w:lvlText w:val="A."/>
      <w:lvlJc w:val="left"/>
      <w:pPr>
        <w:tabs>
          <w:tab w:val="num" w:pos="2160"/>
        </w:tabs>
        <w:ind w:left="720" w:hanging="720"/>
      </w:pPr>
      <w:rPr>
        <w:b w:val="0"/>
        <w:i w:val="0"/>
        <w:caps w:val="0"/>
        <w:smallCaps w:val="0"/>
        <w:u w:val="none"/>
      </w:rPr>
    </w:lvl>
    <w:lvl w:ilvl="3">
      <w:start w:val="1"/>
      <w:numFmt w:val="bullet"/>
      <w:lvlText w:val="o"/>
      <w:lvlJc w:val="left"/>
      <w:pPr>
        <w:tabs>
          <w:tab w:val="num" w:pos="1620"/>
        </w:tabs>
        <w:ind w:left="-1260" w:firstLine="2160"/>
      </w:pPr>
      <w:rPr>
        <w:rFonts w:ascii="Courier New" w:hAnsi="Courier New" w:cs="Courier New"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15" w15:restartNumberingAfterBreak="0">
    <w:nsid w:val="3D2336DC"/>
    <w:multiLevelType w:val="hybridMultilevel"/>
    <w:tmpl w:val="BB02E3CE"/>
    <w:lvl w:ilvl="0" w:tplc="C4DEF3F4">
      <w:start w:val="1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3673A"/>
    <w:multiLevelType w:val="hybridMultilevel"/>
    <w:tmpl w:val="BAD2AC76"/>
    <w:lvl w:ilvl="0" w:tplc="C4DEF3F4">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6E4523"/>
    <w:multiLevelType w:val="hybridMultilevel"/>
    <w:tmpl w:val="4B3CC22E"/>
    <w:lvl w:ilvl="0" w:tplc="F65CCCCA">
      <w:start w:val="1"/>
      <w:numFmt w:val="bullet"/>
      <w:lvlText w:val=""/>
      <w:lvlJc w:val="left"/>
      <w:pPr>
        <w:ind w:left="1440" w:hanging="360"/>
      </w:pPr>
      <w:rPr>
        <w:rFonts w:ascii="Symbol" w:hAnsi="Symbol" w:hint="default"/>
      </w:rPr>
    </w:lvl>
    <w:lvl w:ilvl="1" w:tplc="F3164030" w:tentative="1">
      <w:start w:val="1"/>
      <w:numFmt w:val="bullet"/>
      <w:lvlText w:val="o"/>
      <w:lvlJc w:val="left"/>
      <w:pPr>
        <w:ind w:left="2160" w:hanging="360"/>
      </w:pPr>
      <w:rPr>
        <w:rFonts w:ascii="Courier New" w:hAnsi="Courier New" w:cs="Courier New" w:hint="default"/>
      </w:rPr>
    </w:lvl>
    <w:lvl w:ilvl="2" w:tplc="FEE2DCB0" w:tentative="1">
      <w:start w:val="1"/>
      <w:numFmt w:val="bullet"/>
      <w:lvlText w:val=""/>
      <w:lvlJc w:val="left"/>
      <w:pPr>
        <w:ind w:left="2880" w:hanging="360"/>
      </w:pPr>
      <w:rPr>
        <w:rFonts w:ascii="Wingdings" w:hAnsi="Wingdings" w:hint="default"/>
      </w:rPr>
    </w:lvl>
    <w:lvl w:ilvl="3" w:tplc="D294EF4A" w:tentative="1">
      <w:start w:val="1"/>
      <w:numFmt w:val="bullet"/>
      <w:lvlText w:val=""/>
      <w:lvlJc w:val="left"/>
      <w:pPr>
        <w:ind w:left="3600" w:hanging="360"/>
      </w:pPr>
      <w:rPr>
        <w:rFonts w:ascii="Symbol" w:hAnsi="Symbol" w:hint="default"/>
      </w:rPr>
    </w:lvl>
    <w:lvl w:ilvl="4" w:tplc="87FC4124" w:tentative="1">
      <w:start w:val="1"/>
      <w:numFmt w:val="bullet"/>
      <w:lvlText w:val="o"/>
      <w:lvlJc w:val="left"/>
      <w:pPr>
        <w:ind w:left="4320" w:hanging="360"/>
      </w:pPr>
      <w:rPr>
        <w:rFonts w:ascii="Courier New" w:hAnsi="Courier New" w:cs="Courier New" w:hint="default"/>
      </w:rPr>
    </w:lvl>
    <w:lvl w:ilvl="5" w:tplc="590223FA" w:tentative="1">
      <w:start w:val="1"/>
      <w:numFmt w:val="bullet"/>
      <w:lvlText w:val=""/>
      <w:lvlJc w:val="left"/>
      <w:pPr>
        <w:ind w:left="5040" w:hanging="360"/>
      </w:pPr>
      <w:rPr>
        <w:rFonts w:ascii="Wingdings" w:hAnsi="Wingdings" w:hint="default"/>
      </w:rPr>
    </w:lvl>
    <w:lvl w:ilvl="6" w:tplc="8208E8C0" w:tentative="1">
      <w:start w:val="1"/>
      <w:numFmt w:val="bullet"/>
      <w:lvlText w:val=""/>
      <w:lvlJc w:val="left"/>
      <w:pPr>
        <w:ind w:left="5760" w:hanging="360"/>
      </w:pPr>
      <w:rPr>
        <w:rFonts w:ascii="Symbol" w:hAnsi="Symbol" w:hint="default"/>
      </w:rPr>
    </w:lvl>
    <w:lvl w:ilvl="7" w:tplc="8B6C3452" w:tentative="1">
      <w:start w:val="1"/>
      <w:numFmt w:val="bullet"/>
      <w:lvlText w:val="o"/>
      <w:lvlJc w:val="left"/>
      <w:pPr>
        <w:ind w:left="6480" w:hanging="360"/>
      </w:pPr>
      <w:rPr>
        <w:rFonts w:ascii="Courier New" w:hAnsi="Courier New" w:cs="Courier New" w:hint="default"/>
      </w:rPr>
    </w:lvl>
    <w:lvl w:ilvl="8" w:tplc="919CAAE6" w:tentative="1">
      <w:start w:val="1"/>
      <w:numFmt w:val="bullet"/>
      <w:lvlText w:val=""/>
      <w:lvlJc w:val="left"/>
      <w:pPr>
        <w:ind w:left="7200" w:hanging="360"/>
      </w:pPr>
      <w:rPr>
        <w:rFonts w:ascii="Wingdings" w:hAnsi="Wingdings" w:hint="default"/>
      </w:rPr>
    </w:lvl>
  </w:abstractNum>
  <w:abstractNum w:abstractNumId="18" w15:restartNumberingAfterBreak="0">
    <w:nsid w:val="4C1D4973"/>
    <w:multiLevelType w:val="hybridMultilevel"/>
    <w:tmpl w:val="519AD342"/>
    <w:lvl w:ilvl="0" w:tplc="D36AFF70">
      <w:start w:val="1"/>
      <w:numFmt w:val="decimal"/>
      <w:lvlText w:val="%1."/>
      <w:lvlJc w:val="left"/>
      <w:pPr>
        <w:tabs>
          <w:tab w:val="num" w:pos="1440"/>
        </w:tabs>
        <w:ind w:left="1440" w:hanging="360"/>
      </w:pPr>
      <w:rPr>
        <w:rFonts w:cs="Times New Roman"/>
      </w:rPr>
    </w:lvl>
    <w:lvl w:ilvl="1" w:tplc="29167F12" w:tentative="1">
      <w:start w:val="1"/>
      <w:numFmt w:val="lowerLetter"/>
      <w:lvlText w:val="%2."/>
      <w:lvlJc w:val="left"/>
      <w:pPr>
        <w:tabs>
          <w:tab w:val="num" w:pos="2160"/>
        </w:tabs>
        <w:ind w:left="2160" w:hanging="360"/>
      </w:pPr>
      <w:rPr>
        <w:rFonts w:cs="Times New Roman"/>
      </w:rPr>
    </w:lvl>
    <w:lvl w:ilvl="2" w:tplc="34D4FA78" w:tentative="1">
      <w:start w:val="1"/>
      <w:numFmt w:val="lowerRoman"/>
      <w:lvlText w:val="%3."/>
      <w:lvlJc w:val="right"/>
      <w:pPr>
        <w:tabs>
          <w:tab w:val="num" w:pos="2880"/>
        </w:tabs>
        <w:ind w:left="2880" w:hanging="180"/>
      </w:pPr>
      <w:rPr>
        <w:rFonts w:cs="Times New Roman"/>
      </w:rPr>
    </w:lvl>
    <w:lvl w:ilvl="3" w:tplc="976213A0" w:tentative="1">
      <w:start w:val="1"/>
      <w:numFmt w:val="decimal"/>
      <w:lvlText w:val="%4."/>
      <w:lvlJc w:val="left"/>
      <w:pPr>
        <w:tabs>
          <w:tab w:val="num" w:pos="3600"/>
        </w:tabs>
        <w:ind w:left="3600" w:hanging="360"/>
      </w:pPr>
      <w:rPr>
        <w:rFonts w:cs="Times New Roman"/>
      </w:rPr>
    </w:lvl>
    <w:lvl w:ilvl="4" w:tplc="49ACBC2C" w:tentative="1">
      <w:start w:val="1"/>
      <w:numFmt w:val="lowerLetter"/>
      <w:lvlText w:val="%5."/>
      <w:lvlJc w:val="left"/>
      <w:pPr>
        <w:tabs>
          <w:tab w:val="num" w:pos="4320"/>
        </w:tabs>
        <w:ind w:left="4320" w:hanging="360"/>
      </w:pPr>
      <w:rPr>
        <w:rFonts w:cs="Times New Roman"/>
      </w:rPr>
    </w:lvl>
    <w:lvl w:ilvl="5" w:tplc="73B2FEC4" w:tentative="1">
      <w:start w:val="1"/>
      <w:numFmt w:val="lowerRoman"/>
      <w:lvlText w:val="%6."/>
      <w:lvlJc w:val="right"/>
      <w:pPr>
        <w:tabs>
          <w:tab w:val="num" w:pos="5040"/>
        </w:tabs>
        <w:ind w:left="5040" w:hanging="180"/>
      </w:pPr>
      <w:rPr>
        <w:rFonts w:cs="Times New Roman"/>
      </w:rPr>
    </w:lvl>
    <w:lvl w:ilvl="6" w:tplc="6DC8139C" w:tentative="1">
      <w:start w:val="1"/>
      <w:numFmt w:val="decimal"/>
      <w:lvlText w:val="%7."/>
      <w:lvlJc w:val="left"/>
      <w:pPr>
        <w:tabs>
          <w:tab w:val="num" w:pos="5760"/>
        </w:tabs>
        <w:ind w:left="5760" w:hanging="360"/>
      </w:pPr>
      <w:rPr>
        <w:rFonts w:cs="Times New Roman"/>
      </w:rPr>
    </w:lvl>
    <w:lvl w:ilvl="7" w:tplc="984E8444" w:tentative="1">
      <w:start w:val="1"/>
      <w:numFmt w:val="lowerLetter"/>
      <w:lvlText w:val="%8."/>
      <w:lvlJc w:val="left"/>
      <w:pPr>
        <w:tabs>
          <w:tab w:val="num" w:pos="6480"/>
        </w:tabs>
        <w:ind w:left="6480" w:hanging="360"/>
      </w:pPr>
      <w:rPr>
        <w:rFonts w:cs="Times New Roman"/>
      </w:rPr>
    </w:lvl>
    <w:lvl w:ilvl="8" w:tplc="CB5881C2" w:tentative="1">
      <w:start w:val="1"/>
      <w:numFmt w:val="lowerRoman"/>
      <w:lvlText w:val="%9."/>
      <w:lvlJc w:val="right"/>
      <w:pPr>
        <w:tabs>
          <w:tab w:val="num" w:pos="7200"/>
        </w:tabs>
        <w:ind w:left="7200" w:hanging="180"/>
      </w:pPr>
      <w:rPr>
        <w:rFonts w:cs="Times New Roman"/>
      </w:rPr>
    </w:lvl>
  </w:abstractNum>
  <w:abstractNum w:abstractNumId="19" w15:restartNumberingAfterBreak="0">
    <w:nsid w:val="559626F6"/>
    <w:multiLevelType w:val="hybridMultilevel"/>
    <w:tmpl w:val="B406CE7A"/>
    <w:lvl w:ilvl="0" w:tplc="D1345EDE">
      <w:start w:val="1"/>
      <w:numFmt w:val="decimal"/>
      <w:lvlText w:val="%1."/>
      <w:lvlJc w:val="left"/>
      <w:pPr>
        <w:tabs>
          <w:tab w:val="num" w:pos="1440"/>
        </w:tabs>
        <w:ind w:left="1440" w:hanging="360"/>
      </w:pPr>
      <w:rPr>
        <w:rFonts w:cs="Times New Roman"/>
      </w:rPr>
    </w:lvl>
    <w:lvl w:ilvl="1" w:tplc="E7DC6C18" w:tentative="1">
      <w:start w:val="1"/>
      <w:numFmt w:val="lowerLetter"/>
      <w:lvlText w:val="%2."/>
      <w:lvlJc w:val="left"/>
      <w:pPr>
        <w:tabs>
          <w:tab w:val="num" w:pos="2160"/>
        </w:tabs>
        <w:ind w:left="2160" w:hanging="360"/>
      </w:pPr>
      <w:rPr>
        <w:rFonts w:cs="Times New Roman"/>
      </w:rPr>
    </w:lvl>
    <w:lvl w:ilvl="2" w:tplc="39980314" w:tentative="1">
      <w:start w:val="1"/>
      <w:numFmt w:val="lowerRoman"/>
      <w:lvlText w:val="%3."/>
      <w:lvlJc w:val="right"/>
      <w:pPr>
        <w:tabs>
          <w:tab w:val="num" w:pos="2880"/>
        </w:tabs>
        <w:ind w:left="2880" w:hanging="180"/>
      </w:pPr>
      <w:rPr>
        <w:rFonts w:cs="Times New Roman"/>
      </w:rPr>
    </w:lvl>
    <w:lvl w:ilvl="3" w:tplc="86D633E6" w:tentative="1">
      <w:start w:val="1"/>
      <w:numFmt w:val="decimal"/>
      <w:lvlText w:val="%4."/>
      <w:lvlJc w:val="left"/>
      <w:pPr>
        <w:tabs>
          <w:tab w:val="num" w:pos="3600"/>
        </w:tabs>
        <w:ind w:left="3600" w:hanging="360"/>
      </w:pPr>
      <w:rPr>
        <w:rFonts w:cs="Times New Roman"/>
      </w:rPr>
    </w:lvl>
    <w:lvl w:ilvl="4" w:tplc="8A6A890E" w:tentative="1">
      <w:start w:val="1"/>
      <w:numFmt w:val="lowerLetter"/>
      <w:lvlText w:val="%5."/>
      <w:lvlJc w:val="left"/>
      <w:pPr>
        <w:tabs>
          <w:tab w:val="num" w:pos="4320"/>
        </w:tabs>
        <w:ind w:left="4320" w:hanging="360"/>
      </w:pPr>
      <w:rPr>
        <w:rFonts w:cs="Times New Roman"/>
      </w:rPr>
    </w:lvl>
    <w:lvl w:ilvl="5" w:tplc="8526A0AE" w:tentative="1">
      <w:start w:val="1"/>
      <w:numFmt w:val="lowerRoman"/>
      <w:lvlText w:val="%6."/>
      <w:lvlJc w:val="right"/>
      <w:pPr>
        <w:tabs>
          <w:tab w:val="num" w:pos="5040"/>
        </w:tabs>
        <w:ind w:left="5040" w:hanging="180"/>
      </w:pPr>
      <w:rPr>
        <w:rFonts w:cs="Times New Roman"/>
      </w:rPr>
    </w:lvl>
    <w:lvl w:ilvl="6" w:tplc="A1DCE056" w:tentative="1">
      <w:start w:val="1"/>
      <w:numFmt w:val="decimal"/>
      <w:lvlText w:val="%7."/>
      <w:lvlJc w:val="left"/>
      <w:pPr>
        <w:tabs>
          <w:tab w:val="num" w:pos="5760"/>
        </w:tabs>
        <w:ind w:left="5760" w:hanging="360"/>
      </w:pPr>
      <w:rPr>
        <w:rFonts w:cs="Times New Roman"/>
      </w:rPr>
    </w:lvl>
    <w:lvl w:ilvl="7" w:tplc="C8B2E1E2" w:tentative="1">
      <w:start w:val="1"/>
      <w:numFmt w:val="lowerLetter"/>
      <w:lvlText w:val="%8."/>
      <w:lvlJc w:val="left"/>
      <w:pPr>
        <w:tabs>
          <w:tab w:val="num" w:pos="6480"/>
        </w:tabs>
        <w:ind w:left="6480" w:hanging="360"/>
      </w:pPr>
      <w:rPr>
        <w:rFonts w:cs="Times New Roman"/>
      </w:rPr>
    </w:lvl>
    <w:lvl w:ilvl="8" w:tplc="5EAEB104" w:tentative="1">
      <w:start w:val="1"/>
      <w:numFmt w:val="lowerRoman"/>
      <w:lvlText w:val="%9."/>
      <w:lvlJc w:val="right"/>
      <w:pPr>
        <w:tabs>
          <w:tab w:val="num" w:pos="7200"/>
        </w:tabs>
        <w:ind w:left="7200" w:hanging="180"/>
      </w:pPr>
      <w:rPr>
        <w:rFonts w:cs="Times New Roman"/>
      </w:rPr>
    </w:lvl>
  </w:abstractNum>
  <w:abstractNum w:abstractNumId="20" w15:restartNumberingAfterBreak="0">
    <w:nsid w:val="55A32413"/>
    <w:multiLevelType w:val="multilevel"/>
    <w:tmpl w:val="869225C2"/>
    <w:lvl w:ilvl="0">
      <w:start w:val="1"/>
      <w:numFmt w:val="none"/>
      <w:pStyle w:val="Answer1"/>
      <w:lvlText w:val="A.%1"/>
      <w:lvlJc w:val="left"/>
      <w:pPr>
        <w:tabs>
          <w:tab w:val="num" w:pos="0"/>
        </w:tabs>
        <w:ind w:left="0" w:firstLine="0"/>
      </w:pPr>
      <w:rPr>
        <w:rFonts w:ascii="Times New Roman Bold" w:hAnsi="Times New Roman Bold" w:cs="Times New Roman"/>
        <w:b w:val="0"/>
        <w:i w:val="0"/>
        <w:caps w:val="0"/>
        <w:strike w:val="0"/>
        <w:dstrike w:val="0"/>
        <w:vanish w:val="0"/>
        <w:webHidden w:val="0"/>
        <w:color w:val="auto"/>
        <w:sz w:val="24"/>
        <w:u w:val="none"/>
        <w:effect w:val="none"/>
        <w:vertAlign w:val="baseline"/>
        <w:specVanish w:val="0"/>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abstractNum>
  <w:abstractNum w:abstractNumId="21" w15:restartNumberingAfterBreak="0">
    <w:nsid w:val="6111242B"/>
    <w:multiLevelType w:val="hybridMultilevel"/>
    <w:tmpl w:val="A514810A"/>
    <w:lvl w:ilvl="0" w:tplc="E27C42A8">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536A35"/>
    <w:multiLevelType w:val="multilevel"/>
    <w:tmpl w:val="7D0831C6"/>
    <w:lvl w:ilvl="0">
      <w:start w:val="1"/>
      <w:numFmt w:val="upperRoman"/>
      <w:suff w:val="nothing"/>
      <w:lvlText w:val="%1."/>
      <w:lvlJc w:val="left"/>
      <w:pPr>
        <w:ind w:left="0" w:firstLine="0"/>
      </w:pPr>
      <w:rPr>
        <w:rFonts w:hint="default"/>
        <w:b/>
        <w:i w:val="0"/>
        <w:caps/>
        <w:smallCaps w:val="0"/>
        <w:u w:val="single"/>
      </w:rPr>
    </w:lvl>
    <w:lvl w:ilvl="1">
      <w:start w:val="1"/>
      <w:numFmt w:val="none"/>
      <w:lvlRestart w:val="0"/>
      <w:lvlText w:val="Q."/>
      <w:lvlJc w:val="left"/>
      <w:pPr>
        <w:tabs>
          <w:tab w:val="num" w:pos="720"/>
        </w:tabs>
        <w:ind w:left="720" w:hanging="720"/>
      </w:pPr>
      <w:rPr>
        <w:rFonts w:hint="default"/>
        <w:b/>
        <w:i w:val="0"/>
        <w:caps/>
        <w:smallCaps w:val="0"/>
        <w:u w:val="none"/>
      </w:rPr>
    </w:lvl>
    <w:lvl w:ilvl="2">
      <w:start w:val="1"/>
      <w:numFmt w:val="none"/>
      <w:lvlRestart w:val="0"/>
      <w:lvlText w:val="A."/>
      <w:lvlJc w:val="left"/>
      <w:pPr>
        <w:tabs>
          <w:tab w:val="num" w:pos="2160"/>
        </w:tabs>
        <w:ind w:left="720" w:hanging="720"/>
      </w:pPr>
      <w:rPr>
        <w:rFonts w:hint="default"/>
        <w:b w:val="0"/>
        <w:i w:val="0"/>
        <w:caps w:val="0"/>
        <w:smallCaps w:val="0"/>
        <w:u w:val="none"/>
      </w:rPr>
    </w:lvl>
    <w:lvl w:ilvl="3">
      <w:start w:val="1"/>
      <w:numFmt w:val="decimal"/>
      <w:lvlText w:val="(%4)"/>
      <w:lvlJc w:val="left"/>
      <w:pPr>
        <w:tabs>
          <w:tab w:val="num" w:pos="2880"/>
        </w:tabs>
        <w:ind w:left="0" w:firstLine="2160"/>
      </w:pPr>
      <w:rPr>
        <w:rFonts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23" w15:restartNumberingAfterBreak="0">
    <w:nsid w:val="688B5C5A"/>
    <w:multiLevelType w:val="hybridMultilevel"/>
    <w:tmpl w:val="519AD342"/>
    <w:lvl w:ilvl="0" w:tplc="18DE4134">
      <w:start w:val="1"/>
      <w:numFmt w:val="decimal"/>
      <w:lvlText w:val="%1."/>
      <w:lvlJc w:val="left"/>
      <w:pPr>
        <w:tabs>
          <w:tab w:val="num" w:pos="1440"/>
        </w:tabs>
        <w:ind w:left="1440" w:hanging="360"/>
      </w:pPr>
      <w:rPr>
        <w:rFonts w:cs="Times New Roman"/>
      </w:rPr>
    </w:lvl>
    <w:lvl w:ilvl="1" w:tplc="B73AAB56" w:tentative="1">
      <w:start w:val="1"/>
      <w:numFmt w:val="lowerLetter"/>
      <w:lvlText w:val="%2."/>
      <w:lvlJc w:val="left"/>
      <w:pPr>
        <w:tabs>
          <w:tab w:val="num" w:pos="2160"/>
        </w:tabs>
        <w:ind w:left="2160" w:hanging="360"/>
      </w:pPr>
      <w:rPr>
        <w:rFonts w:cs="Times New Roman"/>
      </w:rPr>
    </w:lvl>
    <w:lvl w:ilvl="2" w:tplc="B5287110" w:tentative="1">
      <w:start w:val="1"/>
      <w:numFmt w:val="lowerRoman"/>
      <w:lvlText w:val="%3."/>
      <w:lvlJc w:val="right"/>
      <w:pPr>
        <w:tabs>
          <w:tab w:val="num" w:pos="2880"/>
        </w:tabs>
        <w:ind w:left="2880" w:hanging="180"/>
      </w:pPr>
      <w:rPr>
        <w:rFonts w:cs="Times New Roman"/>
      </w:rPr>
    </w:lvl>
    <w:lvl w:ilvl="3" w:tplc="DF622CCA" w:tentative="1">
      <w:start w:val="1"/>
      <w:numFmt w:val="decimal"/>
      <w:lvlText w:val="%4."/>
      <w:lvlJc w:val="left"/>
      <w:pPr>
        <w:tabs>
          <w:tab w:val="num" w:pos="3600"/>
        </w:tabs>
        <w:ind w:left="3600" w:hanging="360"/>
      </w:pPr>
      <w:rPr>
        <w:rFonts w:cs="Times New Roman"/>
      </w:rPr>
    </w:lvl>
    <w:lvl w:ilvl="4" w:tplc="A2F87A4E" w:tentative="1">
      <w:start w:val="1"/>
      <w:numFmt w:val="lowerLetter"/>
      <w:lvlText w:val="%5."/>
      <w:lvlJc w:val="left"/>
      <w:pPr>
        <w:tabs>
          <w:tab w:val="num" w:pos="4320"/>
        </w:tabs>
        <w:ind w:left="4320" w:hanging="360"/>
      </w:pPr>
      <w:rPr>
        <w:rFonts w:cs="Times New Roman"/>
      </w:rPr>
    </w:lvl>
    <w:lvl w:ilvl="5" w:tplc="8782F160" w:tentative="1">
      <w:start w:val="1"/>
      <w:numFmt w:val="lowerRoman"/>
      <w:lvlText w:val="%6."/>
      <w:lvlJc w:val="right"/>
      <w:pPr>
        <w:tabs>
          <w:tab w:val="num" w:pos="5040"/>
        </w:tabs>
        <w:ind w:left="5040" w:hanging="180"/>
      </w:pPr>
      <w:rPr>
        <w:rFonts w:cs="Times New Roman"/>
      </w:rPr>
    </w:lvl>
    <w:lvl w:ilvl="6" w:tplc="7BF625D8" w:tentative="1">
      <w:start w:val="1"/>
      <w:numFmt w:val="decimal"/>
      <w:lvlText w:val="%7."/>
      <w:lvlJc w:val="left"/>
      <w:pPr>
        <w:tabs>
          <w:tab w:val="num" w:pos="5760"/>
        </w:tabs>
        <w:ind w:left="5760" w:hanging="360"/>
      </w:pPr>
      <w:rPr>
        <w:rFonts w:cs="Times New Roman"/>
      </w:rPr>
    </w:lvl>
    <w:lvl w:ilvl="7" w:tplc="1E5E3D58" w:tentative="1">
      <w:start w:val="1"/>
      <w:numFmt w:val="lowerLetter"/>
      <w:lvlText w:val="%8."/>
      <w:lvlJc w:val="left"/>
      <w:pPr>
        <w:tabs>
          <w:tab w:val="num" w:pos="6480"/>
        </w:tabs>
        <w:ind w:left="6480" w:hanging="360"/>
      </w:pPr>
      <w:rPr>
        <w:rFonts w:cs="Times New Roman"/>
      </w:rPr>
    </w:lvl>
    <w:lvl w:ilvl="8" w:tplc="AFFCFC92" w:tentative="1">
      <w:start w:val="1"/>
      <w:numFmt w:val="lowerRoman"/>
      <w:lvlText w:val="%9."/>
      <w:lvlJc w:val="right"/>
      <w:pPr>
        <w:tabs>
          <w:tab w:val="num" w:pos="7200"/>
        </w:tabs>
        <w:ind w:left="7200" w:hanging="180"/>
      </w:pPr>
      <w:rPr>
        <w:rFonts w:cs="Times New Roman"/>
      </w:rPr>
    </w:lvl>
  </w:abstractNum>
  <w:abstractNum w:abstractNumId="24" w15:restartNumberingAfterBreak="0">
    <w:nsid w:val="6B376CBE"/>
    <w:multiLevelType w:val="hybridMultilevel"/>
    <w:tmpl w:val="02D6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0537F2"/>
    <w:multiLevelType w:val="multilevel"/>
    <w:tmpl w:val="7D0831C6"/>
    <w:lvl w:ilvl="0">
      <w:start w:val="1"/>
      <w:numFmt w:val="upperRoman"/>
      <w:suff w:val="nothing"/>
      <w:lvlText w:val="%1."/>
      <w:lvlJc w:val="left"/>
      <w:pPr>
        <w:ind w:left="0" w:firstLine="0"/>
      </w:pPr>
      <w:rPr>
        <w:rFonts w:hint="default"/>
        <w:b/>
        <w:i w:val="0"/>
        <w:caps/>
        <w:smallCaps w:val="0"/>
        <w:u w:val="single"/>
      </w:rPr>
    </w:lvl>
    <w:lvl w:ilvl="1">
      <w:start w:val="1"/>
      <w:numFmt w:val="none"/>
      <w:lvlRestart w:val="0"/>
      <w:lvlText w:val="Q."/>
      <w:lvlJc w:val="left"/>
      <w:pPr>
        <w:tabs>
          <w:tab w:val="num" w:pos="720"/>
        </w:tabs>
        <w:ind w:left="720" w:hanging="720"/>
      </w:pPr>
      <w:rPr>
        <w:rFonts w:hint="default"/>
        <w:b/>
        <w:i w:val="0"/>
        <w:caps/>
        <w:smallCaps w:val="0"/>
        <w:u w:val="none"/>
      </w:rPr>
    </w:lvl>
    <w:lvl w:ilvl="2">
      <w:start w:val="1"/>
      <w:numFmt w:val="none"/>
      <w:lvlRestart w:val="0"/>
      <w:lvlText w:val="A."/>
      <w:lvlJc w:val="left"/>
      <w:pPr>
        <w:tabs>
          <w:tab w:val="num" w:pos="2160"/>
        </w:tabs>
        <w:ind w:left="720" w:hanging="720"/>
      </w:pPr>
      <w:rPr>
        <w:rFonts w:hint="default"/>
        <w:b w:val="0"/>
        <w:i w:val="0"/>
        <w:caps w:val="0"/>
        <w:smallCaps w:val="0"/>
        <w:u w:val="none"/>
      </w:rPr>
    </w:lvl>
    <w:lvl w:ilvl="3">
      <w:start w:val="1"/>
      <w:numFmt w:val="decimal"/>
      <w:lvlText w:val="(%4)"/>
      <w:lvlJc w:val="left"/>
      <w:pPr>
        <w:tabs>
          <w:tab w:val="num" w:pos="2880"/>
        </w:tabs>
        <w:ind w:left="0" w:firstLine="2160"/>
      </w:pPr>
      <w:rPr>
        <w:rFonts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26" w15:restartNumberingAfterBreak="0">
    <w:nsid w:val="6E2D0D93"/>
    <w:multiLevelType w:val="multilevel"/>
    <w:tmpl w:val="6712B520"/>
    <w:name w:val="zzmpOutline||Outline|2|3|1|1|10|13||1|12|1||1|12|1||1|12|1||1|12|0||1|12|0||1|12|0||1|12|0||1|12|0||"/>
    <w:lvl w:ilvl="0">
      <w:start w:val="1"/>
      <w:numFmt w:val="upperRoman"/>
      <w:pStyle w:val="OutlineL1"/>
      <w:lvlText w:val="%1."/>
      <w:lvlJc w:val="left"/>
      <w:pPr>
        <w:tabs>
          <w:tab w:val="num" w:pos="720"/>
        </w:tabs>
        <w:ind w:left="0" w:firstLine="0"/>
      </w:pPr>
      <w:rPr>
        <w:b/>
        <w:i w:val="0"/>
        <w:caps/>
        <w:smallCaps w:val="0"/>
        <w:u w:val="none"/>
      </w:rPr>
    </w:lvl>
    <w:lvl w:ilvl="1">
      <w:start w:val="1"/>
      <w:numFmt w:val="upperLetter"/>
      <w:pStyle w:val="OutlineL2"/>
      <w:lvlText w:val="%2."/>
      <w:lvlJc w:val="left"/>
      <w:pPr>
        <w:tabs>
          <w:tab w:val="num" w:pos="1440"/>
        </w:tabs>
        <w:ind w:left="0" w:firstLine="720"/>
      </w:pPr>
      <w:rPr>
        <w:b w:val="0"/>
        <w:i w:val="0"/>
        <w:caps w:val="0"/>
        <w:smallCaps w:val="0"/>
        <w:u w:val="none"/>
      </w:rPr>
    </w:lvl>
    <w:lvl w:ilvl="2">
      <w:start w:val="1"/>
      <w:numFmt w:val="decimal"/>
      <w:pStyle w:val="OutlineL3"/>
      <w:lvlText w:val="%3."/>
      <w:lvlJc w:val="left"/>
      <w:pPr>
        <w:tabs>
          <w:tab w:val="num" w:pos="2160"/>
        </w:tabs>
        <w:ind w:left="0" w:firstLine="1440"/>
      </w:pPr>
      <w:rPr>
        <w:b w:val="0"/>
        <w:i w:val="0"/>
        <w:caps w:val="0"/>
        <w:smallCaps w:val="0"/>
        <w:u w:val="none"/>
      </w:rPr>
    </w:lvl>
    <w:lvl w:ilvl="3">
      <w:start w:val="1"/>
      <w:numFmt w:val="lowerLetter"/>
      <w:pStyle w:val="OutlineL4"/>
      <w:lvlText w:val="%4."/>
      <w:lvlJc w:val="left"/>
      <w:pPr>
        <w:tabs>
          <w:tab w:val="num" w:pos="2880"/>
        </w:tabs>
        <w:ind w:left="0" w:firstLine="2160"/>
      </w:pPr>
      <w:rPr>
        <w:b w:val="0"/>
        <w:i w:val="0"/>
        <w:caps w:val="0"/>
        <w:smallCaps w:val="0"/>
        <w:u w:val="none"/>
      </w:rPr>
    </w:lvl>
    <w:lvl w:ilvl="4">
      <w:start w:val="1"/>
      <w:numFmt w:val="lowerRoman"/>
      <w:pStyle w:val="OutlineL5"/>
      <w:lvlText w:val="(%5)"/>
      <w:lvlJc w:val="left"/>
      <w:pPr>
        <w:tabs>
          <w:tab w:val="num" w:pos="3600"/>
        </w:tabs>
        <w:ind w:left="0" w:firstLine="2880"/>
      </w:pPr>
      <w:rPr>
        <w:b w:val="0"/>
        <w:i w:val="0"/>
        <w:caps w:val="0"/>
        <w:smallCaps w:val="0"/>
        <w:u w:val="none"/>
      </w:rPr>
    </w:lvl>
    <w:lvl w:ilvl="5">
      <w:start w:val="1"/>
      <w:numFmt w:val="lowerLetter"/>
      <w:pStyle w:val="OutlineL6"/>
      <w:lvlText w:val="(%6)"/>
      <w:lvlJc w:val="left"/>
      <w:pPr>
        <w:tabs>
          <w:tab w:val="num" w:pos="4320"/>
        </w:tabs>
        <w:ind w:left="0" w:firstLine="3600"/>
      </w:pPr>
      <w:rPr>
        <w:b w:val="0"/>
        <w:i w:val="0"/>
        <w:caps w:val="0"/>
        <w:smallCaps w:val="0"/>
        <w:u w:val="none"/>
      </w:rPr>
    </w:lvl>
    <w:lvl w:ilvl="6">
      <w:start w:val="1"/>
      <w:numFmt w:val="decimal"/>
      <w:pStyle w:val="OutlineL7"/>
      <w:lvlText w:val="(%7)"/>
      <w:lvlJc w:val="left"/>
      <w:pPr>
        <w:tabs>
          <w:tab w:val="num" w:pos="5040"/>
        </w:tabs>
        <w:ind w:left="0" w:firstLine="4320"/>
      </w:pPr>
      <w:rPr>
        <w:b w:val="0"/>
        <w:i w:val="0"/>
        <w:caps w:val="0"/>
        <w:smallCaps w:val="0"/>
        <w:u w:val="none"/>
      </w:rPr>
    </w:lvl>
    <w:lvl w:ilvl="7">
      <w:start w:val="1"/>
      <w:numFmt w:val="lowerRoman"/>
      <w:pStyle w:val="OutlineL8"/>
      <w:lvlText w:val="%8)"/>
      <w:lvlJc w:val="left"/>
      <w:pPr>
        <w:tabs>
          <w:tab w:val="num" w:pos="5760"/>
        </w:tabs>
        <w:ind w:left="0" w:firstLine="5040"/>
      </w:pPr>
      <w:rPr>
        <w:b w:val="0"/>
        <w:i w:val="0"/>
        <w:caps w:val="0"/>
        <w:smallCaps w:val="0"/>
        <w:u w:val="none"/>
      </w:rPr>
    </w:lvl>
    <w:lvl w:ilvl="8">
      <w:start w:val="1"/>
      <w:numFmt w:val="lowerLetter"/>
      <w:pStyle w:val="OutlineL9"/>
      <w:lvlText w:val="%9)"/>
      <w:lvlJc w:val="left"/>
      <w:pPr>
        <w:tabs>
          <w:tab w:val="num" w:pos="6480"/>
        </w:tabs>
        <w:ind w:left="0" w:firstLine="5760"/>
      </w:pPr>
      <w:rPr>
        <w:b w:val="0"/>
        <w:i w:val="0"/>
        <w:caps w:val="0"/>
        <w:smallCaps w:val="0"/>
        <w:u w:val="none"/>
      </w:rPr>
    </w:lvl>
  </w:abstractNum>
  <w:abstractNum w:abstractNumId="27" w15:restartNumberingAfterBreak="0">
    <w:nsid w:val="6FC934EE"/>
    <w:multiLevelType w:val="multilevel"/>
    <w:tmpl w:val="B65C853A"/>
    <w:lvl w:ilvl="0">
      <w:start w:val="1"/>
      <w:numFmt w:val="upperRoman"/>
      <w:suff w:val="nothing"/>
      <w:lvlText w:val="%1."/>
      <w:lvlJc w:val="left"/>
      <w:pPr>
        <w:ind w:left="0" w:firstLine="0"/>
      </w:pPr>
      <w:rPr>
        <w:rFonts w:hint="default"/>
        <w:b/>
        <w:i w:val="0"/>
        <w:caps/>
        <w:smallCaps w:val="0"/>
        <w:u w:val="single"/>
      </w:rPr>
    </w:lvl>
    <w:lvl w:ilvl="1">
      <w:start w:val="1"/>
      <w:numFmt w:val="none"/>
      <w:lvlRestart w:val="0"/>
      <w:lvlText w:val="Q."/>
      <w:lvlJc w:val="left"/>
      <w:pPr>
        <w:tabs>
          <w:tab w:val="num" w:pos="720"/>
        </w:tabs>
        <w:ind w:left="720" w:hanging="720"/>
      </w:pPr>
      <w:rPr>
        <w:rFonts w:hint="default"/>
        <w:b/>
        <w:i w:val="0"/>
        <w:caps/>
        <w:smallCaps w:val="0"/>
        <w:u w:val="none"/>
      </w:rPr>
    </w:lvl>
    <w:lvl w:ilvl="2">
      <w:start w:val="1"/>
      <w:numFmt w:val="none"/>
      <w:lvlRestart w:val="0"/>
      <w:lvlText w:val="A."/>
      <w:lvlJc w:val="left"/>
      <w:pPr>
        <w:tabs>
          <w:tab w:val="num" w:pos="2160"/>
        </w:tabs>
        <w:ind w:left="720" w:hanging="720"/>
      </w:pPr>
      <w:rPr>
        <w:rFonts w:hint="default"/>
        <w:b w:val="0"/>
        <w:i w:val="0"/>
        <w:caps w:val="0"/>
        <w:smallCaps w:val="0"/>
        <w:u w:val="none"/>
      </w:rPr>
    </w:lvl>
    <w:lvl w:ilvl="3">
      <w:start w:val="1"/>
      <w:numFmt w:val="decimal"/>
      <w:lvlText w:val="(%4)"/>
      <w:lvlJc w:val="left"/>
      <w:pPr>
        <w:tabs>
          <w:tab w:val="num" w:pos="2880"/>
        </w:tabs>
        <w:ind w:left="0" w:firstLine="2160"/>
      </w:pPr>
      <w:rPr>
        <w:rFonts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28" w15:restartNumberingAfterBreak="0">
    <w:nsid w:val="7D3F29B5"/>
    <w:multiLevelType w:val="hybridMultilevel"/>
    <w:tmpl w:val="334E852C"/>
    <w:lvl w:ilvl="0" w:tplc="4A8C4C0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2"/>
  </w:num>
  <w:num w:numId="4">
    <w:abstractNumId w:val="9"/>
  </w:num>
  <w:num w:numId="5">
    <w:abstractNumId w:val="18"/>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7"/>
  </w:num>
  <w:num w:numId="9">
    <w:abstractNumId w:val="3"/>
  </w:num>
  <w:num w:numId="10">
    <w:abstractNumId w:val="14"/>
  </w:num>
  <w:num w:numId="11">
    <w:abstractNumId w:val="25"/>
  </w:num>
  <w:num w:numId="12">
    <w:abstractNumId w:val="27"/>
  </w:num>
  <w:num w:numId="13">
    <w:abstractNumId w:val="22"/>
  </w:num>
  <w:num w:numId="14">
    <w:abstractNumId w:val="8"/>
  </w:num>
  <w:num w:numId="15">
    <w:abstractNumId w:val="21"/>
  </w:num>
  <w:num w:numId="16">
    <w:abstractNumId w:val="26"/>
  </w:num>
  <w:num w:numId="17">
    <w:abstractNumId w:val="6"/>
  </w:num>
  <w:num w:numId="18">
    <w:abstractNumId w:val="4"/>
  </w:num>
  <w:num w:numId="19">
    <w:abstractNumId w:val="7"/>
  </w:num>
  <w:num w:numId="20">
    <w:abstractNumId w:val="15"/>
  </w:num>
  <w:num w:numId="21">
    <w:abstractNumId w:val="16"/>
  </w:num>
  <w:num w:numId="22">
    <w:abstractNumId w:val="5"/>
  </w:num>
  <w:num w:numId="23">
    <w:abstractNumId w:val="13"/>
  </w:num>
  <w:num w:numId="24">
    <w:abstractNumId w:val="28"/>
  </w:num>
  <w:num w:numId="25">
    <w:abstractNumId w:val="1"/>
  </w:num>
  <w:num w:numId="26">
    <w:abstractNumId w:val="24"/>
  </w:num>
  <w:num w:numId="27">
    <w:abstractNumId w:val="11"/>
  </w:num>
  <w:num w:numId="28">
    <w:abstractNumId w:val="26"/>
  </w:num>
  <w:num w:numId="29">
    <w:abstractNumId w:val="26"/>
  </w:num>
  <w:num w:numId="30">
    <w:abstractNumId w:val="26"/>
  </w:num>
  <w:num w:numId="31">
    <w:abstractNumId w:val="26"/>
  </w:num>
  <w:num w:numId="32">
    <w:abstractNumId w:val="26"/>
  </w:num>
  <w:num w:numId="33">
    <w:abstractNumId w:val="26"/>
  </w:num>
  <w:num w:numId="34">
    <w:abstractNumId w:val="10"/>
  </w:num>
  <w:num w:numId="3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cbxMaxLevel" w:val="1"/>
    <w:docVar w:name="cbxMinLevel" w:val="1"/>
    <w:docVar w:name="cbxScheduleStyles" w:val="0"/>
    <w:docVar w:name="cbxTOCScheme" w:val="4"/>
    <w:docVar w:name="chkApplyManualFormatsToTOC" w:val="0"/>
    <w:docVar w:name="chkApplyTOC9" w:val="0"/>
    <w:docVar w:name="chkHyperlinks" w:val="1"/>
    <w:docVar w:name="chkMark" w:val="0"/>
    <w:docVar w:name="chkStyles" w:val="1"/>
    <w:docVar w:name="chkTCEntries" w:val="0"/>
    <w:docVar w:name="chkTwoColumn" w:val="0"/>
    <w:docVar w:name="DocStamp_1_OptionalControlValues" w:val="Library|&amp;Library|0|%l|Version|&amp;Version|0|%v|ClientMatter|&amp;Client/Matter|0|%cm"/>
    <w:docVar w:name="Exclusions" w:val=",Heading,"/>
    <w:docVar w:name="MPDocID" w:val="39279980v1"/>
    <w:docVar w:name="MPDocIDTemplate" w:val="%l| %n|v%v| %c|.%m"/>
    <w:docVar w:name="MPDocIDTemplateDefault" w:val="%l| %n|v%v| %c|.%m"/>
    <w:docVar w:name="NewDocStampType" w:val="7"/>
    <w:docVar w:name="optCreateFrom" w:val="0"/>
    <w:docVar w:name="optInclude" w:val="0"/>
    <w:docVar w:name="StyleExclusions" w:val=",Answer 1,hang,Heading 1,Heading 2,Heading 3,Heading 4,Heading 5,Heading 6,Heading 7,Heading 8,Heading 9,Indent,Outline_L2,Outline_L3,Outline_L4,Outline_L5,Outline_L6,Outline_L7,Outline_L8,Outline_L9,Standard_L1,Standard_L2,Standard_L3,Subtitle,Title,"/>
    <w:docVar w:name="StyleInclusions" w:val=",Outline_L1,"/>
    <w:docVar w:name="zzmpFixedCurScheme" w:val="Outline"/>
    <w:docVar w:name="zzmpFixedCurScheme_9.0" w:val="2zzmpOutline"/>
    <w:docVar w:name="zzmpLTFontsClean" w:val="True"/>
    <w:docVar w:name="zzmpnSession" w:val="0.8815424"/>
    <w:docVar w:name="zzmpOutline" w:val="||Outline|2|3|1|1|10|13||1|12|1||1|12|1||1|12|1||1|12|0||1|12|0||1|12|0||1|12|0||1|12|0||"/>
    <w:docVar w:name="zzmpTrailerDateFormat" w:val="0"/>
  </w:docVars>
  <w:rsids>
    <w:rsidRoot w:val="00AE53C8"/>
    <w:rsid w:val="0000699A"/>
    <w:rsid w:val="00010671"/>
    <w:rsid w:val="00010A96"/>
    <w:rsid w:val="00013ADC"/>
    <w:rsid w:val="000140A2"/>
    <w:rsid w:val="000142F9"/>
    <w:rsid w:val="00015754"/>
    <w:rsid w:val="00016332"/>
    <w:rsid w:val="00021F7A"/>
    <w:rsid w:val="0002542D"/>
    <w:rsid w:val="000262D7"/>
    <w:rsid w:val="0002682C"/>
    <w:rsid w:val="00026C23"/>
    <w:rsid w:val="000278B8"/>
    <w:rsid w:val="00027C88"/>
    <w:rsid w:val="0003104E"/>
    <w:rsid w:val="00031535"/>
    <w:rsid w:val="000363FA"/>
    <w:rsid w:val="000379EF"/>
    <w:rsid w:val="0004120D"/>
    <w:rsid w:val="0004283A"/>
    <w:rsid w:val="00043C19"/>
    <w:rsid w:val="000440A9"/>
    <w:rsid w:val="00045869"/>
    <w:rsid w:val="00046498"/>
    <w:rsid w:val="00046C42"/>
    <w:rsid w:val="00051566"/>
    <w:rsid w:val="00053EF7"/>
    <w:rsid w:val="00055C39"/>
    <w:rsid w:val="0005752D"/>
    <w:rsid w:val="00057A61"/>
    <w:rsid w:val="000606C5"/>
    <w:rsid w:val="0006230B"/>
    <w:rsid w:val="000637B8"/>
    <w:rsid w:val="000638EA"/>
    <w:rsid w:val="00067062"/>
    <w:rsid w:val="000670C2"/>
    <w:rsid w:val="0007136B"/>
    <w:rsid w:val="00071456"/>
    <w:rsid w:val="00077F17"/>
    <w:rsid w:val="000836BC"/>
    <w:rsid w:val="000839C3"/>
    <w:rsid w:val="00083F23"/>
    <w:rsid w:val="0008471C"/>
    <w:rsid w:val="00084D1B"/>
    <w:rsid w:val="00085AED"/>
    <w:rsid w:val="00092465"/>
    <w:rsid w:val="00092535"/>
    <w:rsid w:val="00092540"/>
    <w:rsid w:val="00093EDB"/>
    <w:rsid w:val="00096DDA"/>
    <w:rsid w:val="0009736B"/>
    <w:rsid w:val="000A210C"/>
    <w:rsid w:val="000A5D65"/>
    <w:rsid w:val="000A6411"/>
    <w:rsid w:val="000B1A32"/>
    <w:rsid w:val="000B4D94"/>
    <w:rsid w:val="000B587B"/>
    <w:rsid w:val="000B6F48"/>
    <w:rsid w:val="000B79FA"/>
    <w:rsid w:val="000C03E4"/>
    <w:rsid w:val="000C2CD6"/>
    <w:rsid w:val="000C2E84"/>
    <w:rsid w:val="000C54E8"/>
    <w:rsid w:val="000C6293"/>
    <w:rsid w:val="000D0639"/>
    <w:rsid w:val="000D0939"/>
    <w:rsid w:val="000D70AE"/>
    <w:rsid w:val="000E0109"/>
    <w:rsid w:val="000E0562"/>
    <w:rsid w:val="000E1700"/>
    <w:rsid w:val="000E2673"/>
    <w:rsid w:val="000E5C51"/>
    <w:rsid w:val="000F1283"/>
    <w:rsid w:val="000F1E2F"/>
    <w:rsid w:val="000F4D54"/>
    <w:rsid w:val="000F60C5"/>
    <w:rsid w:val="00101992"/>
    <w:rsid w:val="001020BB"/>
    <w:rsid w:val="001020E4"/>
    <w:rsid w:val="001027D5"/>
    <w:rsid w:val="001028A4"/>
    <w:rsid w:val="001102DB"/>
    <w:rsid w:val="00111578"/>
    <w:rsid w:val="00112007"/>
    <w:rsid w:val="00112567"/>
    <w:rsid w:val="001130BC"/>
    <w:rsid w:val="00114B7B"/>
    <w:rsid w:val="001204D7"/>
    <w:rsid w:val="00121A55"/>
    <w:rsid w:val="00122F6D"/>
    <w:rsid w:val="0012458D"/>
    <w:rsid w:val="00126993"/>
    <w:rsid w:val="0013071F"/>
    <w:rsid w:val="00131682"/>
    <w:rsid w:val="00134518"/>
    <w:rsid w:val="001346F9"/>
    <w:rsid w:val="00134F87"/>
    <w:rsid w:val="0013778E"/>
    <w:rsid w:val="00137AEB"/>
    <w:rsid w:val="00137C5A"/>
    <w:rsid w:val="00140B9A"/>
    <w:rsid w:val="00142E05"/>
    <w:rsid w:val="00145F37"/>
    <w:rsid w:val="00146464"/>
    <w:rsid w:val="00146D63"/>
    <w:rsid w:val="00146EFB"/>
    <w:rsid w:val="001511AA"/>
    <w:rsid w:val="0015225D"/>
    <w:rsid w:val="0015309B"/>
    <w:rsid w:val="00153A6C"/>
    <w:rsid w:val="00153F6E"/>
    <w:rsid w:val="001573C9"/>
    <w:rsid w:val="001608A0"/>
    <w:rsid w:val="0016510C"/>
    <w:rsid w:val="00167B33"/>
    <w:rsid w:val="00173445"/>
    <w:rsid w:val="00175824"/>
    <w:rsid w:val="00176C6F"/>
    <w:rsid w:val="00177921"/>
    <w:rsid w:val="00177EB2"/>
    <w:rsid w:val="0018067D"/>
    <w:rsid w:val="00181463"/>
    <w:rsid w:val="001826EF"/>
    <w:rsid w:val="00184F36"/>
    <w:rsid w:val="0018539A"/>
    <w:rsid w:val="00185E88"/>
    <w:rsid w:val="00185EAA"/>
    <w:rsid w:val="00186CEE"/>
    <w:rsid w:val="00187944"/>
    <w:rsid w:val="00192625"/>
    <w:rsid w:val="00194D59"/>
    <w:rsid w:val="001A02F7"/>
    <w:rsid w:val="001A02FA"/>
    <w:rsid w:val="001A186C"/>
    <w:rsid w:val="001A18DA"/>
    <w:rsid w:val="001A1CD7"/>
    <w:rsid w:val="001A2D29"/>
    <w:rsid w:val="001A4537"/>
    <w:rsid w:val="001B0206"/>
    <w:rsid w:val="001B23AF"/>
    <w:rsid w:val="001B2F07"/>
    <w:rsid w:val="001B58F5"/>
    <w:rsid w:val="001C2BC0"/>
    <w:rsid w:val="001C322D"/>
    <w:rsid w:val="001C3374"/>
    <w:rsid w:val="001D17EC"/>
    <w:rsid w:val="001D3829"/>
    <w:rsid w:val="001D5070"/>
    <w:rsid w:val="001D7A5B"/>
    <w:rsid w:val="001E0D88"/>
    <w:rsid w:val="001E0F0E"/>
    <w:rsid w:val="001E24B7"/>
    <w:rsid w:val="001E37FC"/>
    <w:rsid w:val="001E3FB7"/>
    <w:rsid w:val="001E44D2"/>
    <w:rsid w:val="001F06D4"/>
    <w:rsid w:val="001F1A6B"/>
    <w:rsid w:val="001F23F3"/>
    <w:rsid w:val="001F2CB2"/>
    <w:rsid w:val="001F6800"/>
    <w:rsid w:val="001F6C28"/>
    <w:rsid w:val="002005B7"/>
    <w:rsid w:val="00200735"/>
    <w:rsid w:val="00201284"/>
    <w:rsid w:val="00201383"/>
    <w:rsid w:val="00201A4D"/>
    <w:rsid w:val="0020258F"/>
    <w:rsid w:val="002028F4"/>
    <w:rsid w:val="0020341B"/>
    <w:rsid w:val="00203D21"/>
    <w:rsid w:val="00204193"/>
    <w:rsid w:val="002057E0"/>
    <w:rsid w:val="00207B13"/>
    <w:rsid w:val="0021474E"/>
    <w:rsid w:val="002148B4"/>
    <w:rsid w:val="00217DA2"/>
    <w:rsid w:val="002217AC"/>
    <w:rsid w:val="002218D0"/>
    <w:rsid w:val="002219C0"/>
    <w:rsid w:val="00222534"/>
    <w:rsid w:val="002322D2"/>
    <w:rsid w:val="00232756"/>
    <w:rsid w:val="00232AA6"/>
    <w:rsid w:val="00233AAD"/>
    <w:rsid w:val="00233F43"/>
    <w:rsid w:val="00234A37"/>
    <w:rsid w:val="00234E05"/>
    <w:rsid w:val="00234E6E"/>
    <w:rsid w:val="00236501"/>
    <w:rsid w:val="00236E84"/>
    <w:rsid w:val="0023730D"/>
    <w:rsid w:val="002377E3"/>
    <w:rsid w:val="002407DC"/>
    <w:rsid w:val="00240A3A"/>
    <w:rsid w:val="002424B2"/>
    <w:rsid w:val="0024289D"/>
    <w:rsid w:val="0024328A"/>
    <w:rsid w:val="00243603"/>
    <w:rsid w:val="002442DA"/>
    <w:rsid w:val="00244B32"/>
    <w:rsid w:val="00244F27"/>
    <w:rsid w:val="00246FDA"/>
    <w:rsid w:val="0025111B"/>
    <w:rsid w:val="00251551"/>
    <w:rsid w:val="00252148"/>
    <w:rsid w:val="00255089"/>
    <w:rsid w:val="0025508C"/>
    <w:rsid w:val="00255553"/>
    <w:rsid w:val="00257674"/>
    <w:rsid w:val="00257DE9"/>
    <w:rsid w:val="00264617"/>
    <w:rsid w:val="00265581"/>
    <w:rsid w:val="00270E24"/>
    <w:rsid w:val="00273ADC"/>
    <w:rsid w:val="002751A6"/>
    <w:rsid w:val="0027688D"/>
    <w:rsid w:val="0028296D"/>
    <w:rsid w:val="00286D1E"/>
    <w:rsid w:val="0028739B"/>
    <w:rsid w:val="00287DD9"/>
    <w:rsid w:val="00290341"/>
    <w:rsid w:val="00291780"/>
    <w:rsid w:val="00293939"/>
    <w:rsid w:val="0029432B"/>
    <w:rsid w:val="00294D4D"/>
    <w:rsid w:val="002A116F"/>
    <w:rsid w:val="002A3009"/>
    <w:rsid w:val="002A78A3"/>
    <w:rsid w:val="002A7A2E"/>
    <w:rsid w:val="002B068E"/>
    <w:rsid w:val="002B0749"/>
    <w:rsid w:val="002B1FD5"/>
    <w:rsid w:val="002C0313"/>
    <w:rsid w:val="002C14E6"/>
    <w:rsid w:val="002C38BA"/>
    <w:rsid w:val="002C6470"/>
    <w:rsid w:val="002C6DC9"/>
    <w:rsid w:val="002C7560"/>
    <w:rsid w:val="002D1E7D"/>
    <w:rsid w:val="002D2291"/>
    <w:rsid w:val="002D2D01"/>
    <w:rsid w:val="002E2933"/>
    <w:rsid w:val="002E4299"/>
    <w:rsid w:val="002E6D3F"/>
    <w:rsid w:val="002F0A14"/>
    <w:rsid w:val="002F29B9"/>
    <w:rsid w:val="002F4E4D"/>
    <w:rsid w:val="002F50AF"/>
    <w:rsid w:val="00302D24"/>
    <w:rsid w:val="00303275"/>
    <w:rsid w:val="003032EE"/>
    <w:rsid w:val="0030696C"/>
    <w:rsid w:val="0032028D"/>
    <w:rsid w:val="003211F1"/>
    <w:rsid w:val="003220A0"/>
    <w:rsid w:val="00323587"/>
    <w:rsid w:val="00324233"/>
    <w:rsid w:val="00324825"/>
    <w:rsid w:val="003252A4"/>
    <w:rsid w:val="0033264C"/>
    <w:rsid w:val="003327C4"/>
    <w:rsid w:val="00335153"/>
    <w:rsid w:val="003362AC"/>
    <w:rsid w:val="00341D20"/>
    <w:rsid w:val="00342E2A"/>
    <w:rsid w:val="00345602"/>
    <w:rsid w:val="003459A7"/>
    <w:rsid w:val="003461BE"/>
    <w:rsid w:val="0035071A"/>
    <w:rsid w:val="0035089A"/>
    <w:rsid w:val="0035098C"/>
    <w:rsid w:val="00350ACE"/>
    <w:rsid w:val="00350B9F"/>
    <w:rsid w:val="00351FBE"/>
    <w:rsid w:val="00355CA7"/>
    <w:rsid w:val="00356C96"/>
    <w:rsid w:val="003603A3"/>
    <w:rsid w:val="00361281"/>
    <w:rsid w:val="0036349C"/>
    <w:rsid w:val="00363BA0"/>
    <w:rsid w:val="003645B6"/>
    <w:rsid w:val="00364E86"/>
    <w:rsid w:val="00372F9D"/>
    <w:rsid w:val="0037510D"/>
    <w:rsid w:val="00376921"/>
    <w:rsid w:val="00376E39"/>
    <w:rsid w:val="003770C6"/>
    <w:rsid w:val="00377AE6"/>
    <w:rsid w:val="00377E19"/>
    <w:rsid w:val="003809F9"/>
    <w:rsid w:val="00381047"/>
    <w:rsid w:val="00385563"/>
    <w:rsid w:val="00385FA2"/>
    <w:rsid w:val="0038716C"/>
    <w:rsid w:val="003932D8"/>
    <w:rsid w:val="00393A02"/>
    <w:rsid w:val="0039588C"/>
    <w:rsid w:val="00395972"/>
    <w:rsid w:val="00396A5C"/>
    <w:rsid w:val="003979E6"/>
    <w:rsid w:val="00397FF8"/>
    <w:rsid w:val="003A1B89"/>
    <w:rsid w:val="003A3C12"/>
    <w:rsid w:val="003A5AFB"/>
    <w:rsid w:val="003A601F"/>
    <w:rsid w:val="003B1854"/>
    <w:rsid w:val="003B236A"/>
    <w:rsid w:val="003B48E5"/>
    <w:rsid w:val="003C1D1B"/>
    <w:rsid w:val="003C3B3C"/>
    <w:rsid w:val="003C5376"/>
    <w:rsid w:val="003C61B0"/>
    <w:rsid w:val="003D0E30"/>
    <w:rsid w:val="003D366A"/>
    <w:rsid w:val="003D4CF3"/>
    <w:rsid w:val="003D6795"/>
    <w:rsid w:val="003D78E4"/>
    <w:rsid w:val="003E037A"/>
    <w:rsid w:val="003E0F79"/>
    <w:rsid w:val="003E3636"/>
    <w:rsid w:val="003E5DF8"/>
    <w:rsid w:val="003E79F4"/>
    <w:rsid w:val="003E7C4D"/>
    <w:rsid w:val="003F0C04"/>
    <w:rsid w:val="003F28EC"/>
    <w:rsid w:val="003F299D"/>
    <w:rsid w:val="00406FE6"/>
    <w:rsid w:val="00410AAA"/>
    <w:rsid w:val="00410B7A"/>
    <w:rsid w:val="00410D11"/>
    <w:rsid w:val="0041178E"/>
    <w:rsid w:val="00411ABA"/>
    <w:rsid w:val="004122C0"/>
    <w:rsid w:val="00413235"/>
    <w:rsid w:val="0041639C"/>
    <w:rsid w:val="0042056B"/>
    <w:rsid w:val="00420BAD"/>
    <w:rsid w:val="0042123F"/>
    <w:rsid w:val="004266F2"/>
    <w:rsid w:val="00430EA0"/>
    <w:rsid w:val="00432757"/>
    <w:rsid w:val="004405D9"/>
    <w:rsid w:val="004458D7"/>
    <w:rsid w:val="00447F40"/>
    <w:rsid w:val="00450CEE"/>
    <w:rsid w:val="00451E65"/>
    <w:rsid w:val="004558A6"/>
    <w:rsid w:val="004562C5"/>
    <w:rsid w:val="0046193E"/>
    <w:rsid w:val="00462776"/>
    <w:rsid w:val="00464CE4"/>
    <w:rsid w:val="0046544B"/>
    <w:rsid w:val="00465564"/>
    <w:rsid w:val="004756D6"/>
    <w:rsid w:val="00475AF3"/>
    <w:rsid w:val="0047687C"/>
    <w:rsid w:val="0048360E"/>
    <w:rsid w:val="00483AE5"/>
    <w:rsid w:val="00483F1C"/>
    <w:rsid w:val="00486FB8"/>
    <w:rsid w:val="0049082A"/>
    <w:rsid w:val="0049198E"/>
    <w:rsid w:val="00493908"/>
    <w:rsid w:val="00493EFA"/>
    <w:rsid w:val="00494E06"/>
    <w:rsid w:val="00495656"/>
    <w:rsid w:val="004963A3"/>
    <w:rsid w:val="004976AA"/>
    <w:rsid w:val="004A08D1"/>
    <w:rsid w:val="004A13F4"/>
    <w:rsid w:val="004A16AD"/>
    <w:rsid w:val="004A1A3A"/>
    <w:rsid w:val="004A2366"/>
    <w:rsid w:val="004A27DC"/>
    <w:rsid w:val="004A3D35"/>
    <w:rsid w:val="004A5C46"/>
    <w:rsid w:val="004A70C9"/>
    <w:rsid w:val="004A761A"/>
    <w:rsid w:val="004B18C6"/>
    <w:rsid w:val="004B3190"/>
    <w:rsid w:val="004B32D3"/>
    <w:rsid w:val="004B350E"/>
    <w:rsid w:val="004B3767"/>
    <w:rsid w:val="004B3FEA"/>
    <w:rsid w:val="004B588B"/>
    <w:rsid w:val="004C05D3"/>
    <w:rsid w:val="004C07EC"/>
    <w:rsid w:val="004C1474"/>
    <w:rsid w:val="004C258D"/>
    <w:rsid w:val="004C3459"/>
    <w:rsid w:val="004C3499"/>
    <w:rsid w:val="004C3762"/>
    <w:rsid w:val="004C5436"/>
    <w:rsid w:val="004C67CC"/>
    <w:rsid w:val="004C6B33"/>
    <w:rsid w:val="004D0938"/>
    <w:rsid w:val="004D1B5D"/>
    <w:rsid w:val="004D3173"/>
    <w:rsid w:val="004E1803"/>
    <w:rsid w:val="004E1C85"/>
    <w:rsid w:val="004E4781"/>
    <w:rsid w:val="004E70C5"/>
    <w:rsid w:val="004E7CD9"/>
    <w:rsid w:val="004F1CBB"/>
    <w:rsid w:val="004F7B23"/>
    <w:rsid w:val="00501D57"/>
    <w:rsid w:val="00503588"/>
    <w:rsid w:val="005040D5"/>
    <w:rsid w:val="00504984"/>
    <w:rsid w:val="0050564A"/>
    <w:rsid w:val="0050564B"/>
    <w:rsid w:val="00505965"/>
    <w:rsid w:val="00505E7D"/>
    <w:rsid w:val="005063FB"/>
    <w:rsid w:val="005108DF"/>
    <w:rsid w:val="00511782"/>
    <w:rsid w:val="005128BF"/>
    <w:rsid w:val="00513CBD"/>
    <w:rsid w:val="00514AE6"/>
    <w:rsid w:val="00514B40"/>
    <w:rsid w:val="00514D16"/>
    <w:rsid w:val="00514D94"/>
    <w:rsid w:val="00515A0A"/>
    <w:rsid w:val="0051750B"/>
    <w:rsid w:val="00517E88"/>
    <w:rsid w:val="00521145"/>
    <w:rsid w:val="005227D8"/>
    <w:rsid w:val="00523E20"/>
    <w:rsid w:val="00524284"/>
    <w:rsid w:val="005259D2"/>
    <w:rsid w:val="00526125"/>
    <w:rsid w:val="00526F0B"/>
    <w:rsid w:val="00527312"/>
    <w:rsid w:val="00535E9C"/>
    <w:rsid w:val="00535FED"/>
    <w:rsid w:val="00537009"/>
    <w:rsid w:val="005378DB"/>
    <w:rsid w:val="00537DB9"/>
    <w:rsid w:val="00537F49"/>
    <w:rsid w:val="005408D5"/>
    <w:rsid w:val="0054289C"/>
    <w:rsid w:val="00542AE3"/>
    <w:rsid w:val="00542F2D"/>
    <w:rsid w:val="00545982"/>
    <w:rsid w:val="00545B2D"/>
    <w:rsid w:val="00547FA9"/>
    <w:rsid w:val="005518A7"/>
    <w:rsid w:val="00552C17"/>
    <w:rsid w:val="00554075"/>
    <w:rsid w:val="00562905"/>
    <w:rsid w:val="00562CF0"/>
    <w:rsid w:val="005635E0"/>
    <w:rsid w:val="00564497"/>
    <w:rsid w:val="00566889"/>
    <w:rsid w:val="00567C60"/>
    <w:rsid w:val="005730FB"/>
    <w:rsid w:val="00574DC5"/>
    <w:rsid w:val="0057685B"/>
    <w:rsid w:val="0057710A"/>
    <w:rsid w:val="00577942"/>
    <w:rsid w:val="00577A8E"/>
    <w:rsid w:val="00577DB7"/>
    <w:rsid w:val="00582C08"/>
    <w:rsid w:val="00582CD9"/>
    <w:rsid w:val="00585B34"/>
    <w:rsid w:val="00586E87"/>
    <w:rsid w:val="005907C8"/>
    <w:rsid w:val="00590D4E"/>
    <w:rsid w:val="00592ADC"/>
    <w:rsid w:val="00594C32"/>
    <w:rsid w:val="00597739"/>
    <w:rsid w:val="005A085C"/>
    <w:rsid w:val="005A0BE8"/>
    <w:rsid w:val="005A5BE8"/>
    <w:rsid w:val="005A5D32"/>
    <w:rsid w:val="005A6F09"/>
    <w:rsid w:val="005A79FD"/>
    <w:rsid w:val="005B3AEF"/>
    <w:rsid w:val="005B4C39"/>
    <w:rsid w:val="005B65B5"/>
    <w:rsid w:val="005B7DEC"/>
    <w:rsid w:val="005C0214"/>
    <w:rsid w:val="005C2254"/>
    <w:rsid w:val="005C2E68"/>
    <w:rsid w:val="005C4A5F"/>
    <w:rsid w:val="005C630E"/>
    <w:rsid w:val="005D1721"/>
    <w:rsid w:val="005D3C4B"/>
    <w:rsid w:val="005D696F"/>
    <w:rsid w:val="005E0E1C"/>
    <w:rsid w:val="005E6495"/>
    <w:rsid w:val="005F1833"/>
    <w:rsid w:val="005F45E1"/>
    <w:rsid w:val="00601ADA"/>
    <w:rsid w:val="0060206C"/>
    <w:rsid w:val="006032B4"/>
    <w:rsid w:val="006037E4"/>
    <w:rsid w:val="00604F5F"/>
    <w:rsid w:val="006057D4"/>
    <w:rsid w:val="0060582C"/>
    <w:rsid w:val="00607B63"/>
    <w:rsid w:val="00607E63"/>
    <w:rsid w:val="006133BD"/>
    <w:rsid w:val="006141F2"/>
    <w:rsid w:val="006156DC"/>
    <w:rsid w:val="00616ADF"/>
    <w:rsid w:val="006218A3"/>
    <w:rsid w:val="00623A64"/>
    <w:rsid w:val="00623C40"/>
    <w:rsid w:val="00623F66"/>
    <w:rsid w:val="00624465"/>
    <w:rsid w:val="00625B75"/>
    <w:rsid w:val="00626404"/>
    <w:rsid w:val="00626BA9"/>
    <w:rsid w:val="00626C5D"/>
    <w:rsid w:val="0062797B"/>
    <w:rsid w:val="00627AC7"/>
    <w:rsid w:val="00631829"/>
    <w:rsid w:val="0063208A"/>
    <w:rsid w:val="00632285"/>
    <w:rsid w:val="0063280F"/>
    <w:rsid w:val="006329FC"/>
    <w:rsid w:val="00633C0C"/>
    <w:rsid w:val="00634914"/>
    <w:rsid w:val="00635D0C"/>
    <w:rsid w:val="00642199"/>
    <w:rsid w:val="006450EA"/>
    <w:rsid w:val="00646C40"/>
    <w:rsid w:val="00647506"/>
    <w:rsid w:val="00651F6D"/>
    <w:rsid w:val="00653926"/>
    <w:rsid w:val="00653C0F"/>
    <w:rsid w:val="00653F7D"/>
    <w:rsid w:val="006668BE"/>
    <w:rsid w:val="00674DF8"/>
    <w:rsid w:val="00681959"/>
    <w:rsid w:val="00684AA7"/>
    <w:rsid w:val="00684FE2"/>
    <w:rsid w:val="00685072"/>
    <w:rsid w:val="00690485"/>
    <w:rsid w:val="00690DD3"/>
    <w:rsid w:val="00691E5F"/>
    <w:rsid w:val="006920E6"/>
    <w:rsid w:val="00695A4A"/>
    <w:rsid w:val="00697746"/>
    <w:rsid w:val="006A05D0"/>
    <w:rsid w:val="006A0FF2"/>
    <w:rsid w:val="006A5FE9"/>
    <w:rsid w:val="006A6FE3"/>
    <w:rsid w:val="006B26B2"/>
    <w:rsid w:val="006C006B"/>
    <w:rsid w:val="006C184F"/>
    <w:rsid w:val="006C2603"/>
    <w:rsid w:val="006C325C"/>
    <w:rsid w:val="006C47DC"/>
    <w:rsid w:val="006C4A3C"/>
    <w:rsid w:val="006C4B87"/>
    <w:rsid w:val="006C59E3"/>
    <w:rsid w:val="006C694B"/>
    <w:rsid w:val="006D078E"/>
    <w:rsid w:val="006D1968"/>
    <w:rsid w:val="006D2DE9"/>
    <w:rsid w:val="006D2E82"/>
    <w:rsid w:val="006D330C"/>
    <w:rsid w:val="006D5559"/>
    <w:rsid w:val="006D5E39"/>
    <w:rsid w:val="006D66A0"/>
    <w:rsid w:val="006E0EDB"/>
    <w:rsid w:val="006E120D"/>
    <w:rsid w:val="006E1883"/>
    <w:rsid w:val="006E1A41"/>
    <w:rsid w:val="006E2C6A"/>
    <w:rsid w:val="006E2E96"/>
    <w:rsid w:val="006E3EC7"/>
    <w:rsid w:val="006E74DC"/>
    <w:rsid w:val="006E7E96"/>
    <w:rsid w:val="006F258B"/>
    <w:rsid w:val="006F3353"/>
    <w:rsid w:val="006F3E87"/>
    <w:rsid w:val="006F4A99"/>
    <w:rsid w:val="006F58EB"/>
    <w:rsid w:val="006F633B"/>
    <w:rsid w:val="006F70E4"/>
    <w:rsid w:val="00700E56"/>
    <w:rsid w:val="00702DF2"/>
    <w:rsid w:val="007036E5"/>
    <w:rsid w:val="007073A6"/>
    <w:rsid w:val="0070788D"/>
    <w:rsid w:val="0071263C"/>
    <w:rsid w:val="00713719"/>
    <w:rsid w:val="00713DC6"/>
    <w:rsid w:val="007167A3"/>
    <w:rsid w:val="00717991"/>
    <w:rsid w:val="0072182F"/>
    <w:rsid w:val="0072223D"/>
    <w:rsid w:val="00727AA5"/>
    <w:rsid w:val="007323CF"/>
    <w:rsid w:val="00733C7D"/>
    <w:rsid w:val="00734D10"/>
    <w:rsid w:val="00737929"/>
    <w:rsid w:val="0074308A"/>
    <w:rsid w:val="00743B3E"/>
    <w:rsid w:val="00745D8F"/>
    <w:rsid w:val="00746765"/>
    <w:rsid w:val="00750B68"/>
    <w:rsid w:val="0075246F"/>
    <w:rsid w:val="00752983"/>
    <w:rsid w:val="00754F9B"/>
    <w:rsid w:val="0075627A"/>
    <w:rsid w:val="007566FD"/>
    <w:rsid w:val="00757A86"/>
    <w:rsid w:val="00757BD4"/>
    <w:rsid w:val="00757EA9"/>
    <w:rsid w:val="00760F1E"/>
    <w:rsid w:val="007626EA"/>
    <w:rsid w:val="007658D5"/>
    <w:rsid w:val="0076775F"/>
    <w:rsid w:val="00767B0B"/>
    <w:rsid w:val="00767E41"/>
    <w:rsid w:val="00770C7F"/>
    <w:rsid w:val="00770FF0"/>
    <w:rsid w:val="00773249"/>
    <w:rsid w:val="00777E65"/>
    <w:rsid w:val="0078044E"/>
    <w:rsid w:val="00783A32"/>
    <w:rsid w:val="00784741"/>
    <w:rsid w:val="007864FC"/>
    <w:rsid w:val="00787769"/>
    <w:rsid w:val="00787CA2"/>
    <w:rsid w:val="0079002F"/>
    <w:rsid w:val="007921DA"/>
    <w:rsid w:val="00792FAB"/>
    <w:rsid w:val="007962AC"/>
    <w:rsid w:val="00796E1C"/>
    <w:rsid w:val="0079789E"/>
    <w:rsid w:val="007A01A0"/>
    <w:rsid w:val="007A2033"/>
    <w:rsid w:val="007A25A2"/>
    <w:rsid w:val="007A275F"/>
    <w:rsid w:val="007A3531"/>
    <w:rsid w:val="007A653A"/>
    <w:rsid w:val="007A66F4"/>
    <w:rsid w:val="007A743B"/>
    <w:rsid w:val="007B10F9"/>
    <w:rsid w:val="007B1D94"/>
    <w:rsid w:val="007B30C7"/>
    <w:rsid w:val="007B6A04"/>
    <w:rsid w:val="007B7EE0"/>
    <w:rsid w:val="007C67F9"/>
    <w:rsid w:val="007C6909"/>
    <w:rsid w:val="007C6F4B"/>
    <w:rsid w:val="007D2E0F"/>
    <w:rsid w:val="007D3F97"/>
    <w:rsid w:val="007D7C42"/>
    <w:rsid w:val="007E209E"/>
    <w:rsid w:val="007E53A1"/>
    <w:rsid w:val="007E5D4D"/>
    <w:rsid w:val="007E62D7"/>
    <w:rsid w:val="007E6DCB"/>
    <w:rsid w:val="007E7401"/>
    <w:rsid w:val="007E7BB6"/>
    <w:rsid w:val="007F0197"/>
    <w:rsid w:val="007F68FE"/>
    <w:rsid w:val="008001FB"/>
    <w:rsid w:val="00802198"/>
    <w:rsid w:val="008025A5"/>
    <w:rsid w:val="00805B44"/>
    <w:rsid w:val="00805E37"/>
    <w:rsid w:val="00807E51"/>
    <w:rsid w:val="0081045F"/>
    <w:rsid w:val="00811729"/>
    <w:rsid w:val="0081742D"/>
    <w:rsid w:val="00821267"/>
    <w:rsid w:val="00821CBC"/>
    <w:rsid w:val="00826E83"/>
    <w:rsid w:val="008301C9"/>
    <w:rsid w:val="008310EA"/>
    <w:rsid w:val="00833900"/>
    <w:rsid w:val="00844FFB"/>
    <w:rsid w:val="00852266"/>
    <w:rsid w:val="0085397D"/>
    <w:rsid w:val="00853B4A"/>
    <w:rsid w:val="0086177B"/>
    <w:rsid w:val="00867400"/>
    <w:rsid w:val="0087129A"/>
    <w:rsid w:val="0087239E"/>
    <w:rsid w:val="00872458"/>
    <w:rsid w:val="00872FA1"/>
    <w:rsid w:val="00873685"/>
    <w:rsid w:val="00873EFF"/>
    <w:rsid w:val="00875E6F"/>
    <w:rsid w:val="00877784"/>
    <w:rsid w:val="00880E70"/>
    <w:rsid w:val="00881D15"/>
    <w:rsid w:val="008837CD"/>
    <w:rsid w:val="00884956"/>
    <w:rsid w:val="00886FBE"/>
    <w:rsid w:val="00887EFF"/>
    <w:rsid w:val="00890774"/>
    <w:rsid w:val="0089115C"/>
    <w:rsid w:val="00891EE6"/>
    <w:rsid w:val="00893582"/>
    <w:rsid w:val="008959A6"/>
    <w:rsid w:val="008962ED"/>
    <w:rsid w:val="008966A9"/>
    <w:rsid w:val="008A0496"/>
    <w:rsid w:val="008A269E"/>
    <w:rsid w:val="008A3100"/>
    <w:rsid w:val="008A3D6B"/>
    <w:rsid w:val="008A7D19"/>
    <w:rsid w:val="008B0C6A"/>
    <w:rsid w:val="008B0FDD"/>
    <w:rsid w:val="008B24AD"/>
    <w:rsid w:val="008B27EB"/>
    <w:rsid w:val="008B6000"/>
    <w:rsid w:val="008B76F3"/>
    <w:rsid w:val="008C0E0F"/>
    <w:rsid w:val="008C15DC"/>
    <w:rsid w:val="008C2817"/>
    <w:rsid w:val="008C2ED8"/>
    <w:rsid w:val="008C3FD4"/>
    <w:rsid w:val="008C4FA1"/>
    <w:rsid w:val="008C5534"/>
    <w:rsid w:val="008C5B97"/>
    <w:rsid w:val="008C6013"/>
    <w:rsid w:val="008C6D49"/>
    <w:rsid w:val="008D3537"/>
    <w:rsid w:val="008D39CA"/>
    <w:rsid w:val="008D3C88"/>
    <w:rsid w:val="008D449B"/>
    <w:rsid w:val="008D49D3"/>
    <w:rsid w:val="008D4DC5"/>
    <w:rsid w:val="008D6025"/>
    <w:rsid w:val="008D7214"/>
    <w:rsid w:val="008E3030"/>
    <w:rsid w:val="008E35E7"/>
    <w:rsid w:val="008E4606"/>
    <w:rsid w:val="008E5258"/>
    <w:rsid w:val="008F01B4"/>
    <w:rsid w:val="008F1E8F"/>
    <w:rsid w:val="008F3064"/>
    <w:rsid w:val="008F3846"/>
    <w:rsid w:val="008F40FC"/>
    <w:rsid w:val="008F6288"/>
    <w:rsid w:val="008F6F45"/>
    <w:rsid w:val="008F704F"/>
    <w:rsid w:val="008F7AFC"/>
    <w:rsid w:val="009000E9"/>
    <w:rsid w:val="00901394"/>
    <w:rsid w:val="00902BAA"/>
    <w:rsid w:val="0090655D"/>
    <w:rsid w:val="00907C1E"/>
    <w:rsid w:val="00911774"/>
    <w:rsid w:val="00911D1A"/>
    <w:rsid w:val="00911DF1"/>
    <w:rsid w:val="009126FF"/>
    <w:rsid w:val="00912E50"/>
    <w:rsid w:val="00915229"/>
    <w:rsid w:val="00915F41"/>
    <w:rsid w:val="00922AFF"/>
    <w:rsid w:val="00922C5E"/>
    <w:rsid w:val="00923048"/>
    <w:rsid w:val="00924C50"/>
    <w:rsid w:val="00925E6F"/>
    <w:rsid w:val="009270BD"/>
    <w:rsid w:val="00931401"/>
    <w:rsid w:val="009320EB"/>
    <w:rsid w:val="00933C89"/>
    <w:rsid w:val="00935D38"/>
    <w:rsid w:val="009369A8"/>
    <w:rsid w:val="009413F5"/>
    <w:rsid w:val="00943884"/>
    <w:rsid w:val="00944C59"/>
    <w:rsid w:val="00945B68"/>
    <w:rsid w:val="00946C6A"/>
    <w:rsid w:val="00947DAB"/>
    <w:rsid w:val="00951387"/>
    <w:rsid w:val="0095491A"/>
    <w:rsid w:val="00954BC7"/>
    <w:rsid w:val="009620C0"/>
    <w:rsid w:val="009658D3"/>
    <w:rsid w:val="00966496"/>
    <w:rsid w:val="00970123"/>
    <w:rsid w:val="00972855"/>
    <w:rsid w:val="00972C27"/>
    <w:rsid w:val="00973338"/>
    <w:rsid w:val="00973B94"/>
    <w:rsid w:val="0097491D"/>
    <w:rsid w:val="0097707E"/>
    <w:rsid w:val="00980126"/>
    <w:rsid w:val="00982593"/>
    <w:rsid w:val="00983C9F"/>
    <w:rsid w:val="009857EA"/>
    <w:rsid w:val="00987314"/>
    <w:rsid w:val="00991256"/>
    <w:rsid w:val="00993974"/>
    <w:rsid w:val="0099645E"/>
    <w:rsid w:val="0099652B"/>
    <w:rsid w:val="00996AE2"/>
    <w:rsid w:val="009975CA"/>
    <w:rsid w:val="00997CE5"/>
    <w:rsid w:val="009A00E7"/>
    <w:rsid w:val="009A4D32"/>
    <w:rsid w:val="009A58D6"/>
    <w:rsid w:val="009A5F22"/>
    <w:rsid w:val="009B3591"/>
    <w:rsid w:val="009B6905"/>
    <w:rsid w:val="009C109F"/>
    <w:rsid w:val="009C6AC6"/>
    <w:rsid w:val="009C7069"/>
    <w:rsid w:val="009D0CAB"/>
    <w:rsid w:val="009D1854"/>
    <w:rsid w:val="009D2A33"/>
    <w:rsid w:val="009D5DBB"/>
    <w:rsid w:val="009D70CF"/>
    <w:rsid w:val="009E070F"/>
    <w:rsid w:val="009E172B"/>
    <w:rsid w:val="009E3D8C"/>
    <w:rsid w:val="009E3E71"/>
    <w:rsid w:val="009E3EE7"/>
    <w:rsid w:val="009E4762"/>
    <w:rsid w:val="009E487A"/>
    <w:rsid w:val="009E70A4"/>
    <w:rsid w:val="009F2F7B"/>
    <w:rsid w:val="00A00149"/>
    <w:rsid w:val="00A029C8"/>
    <w:rsid w:val="00A02BDC"/>
    <w:rsid w:val="00A05B48"/>
    <w:rsid w:val="00A05BE5"/>
    <w:rsid w:val="00A069F7"/>
    <w:rsid w:val="00A06BA1"/>
    <w:rsid w:val="00A11554"/>
    <w:rsid w:val="00A13E44"/>
    <w:rsid w:val="00A15682"/>
    <w:rsid w:val="00A15870"/>
    <w:rsid w:val="00A16166"/>
    <w:rsid w:val="00A17DC8"/>
    <w:rsid w:val="00A200C9"/>
    <w:rsid w:val="00A20240"/>
    <w:rsid w:val="00A23382"/>
    <w:rsid w:val="00A24840"/>
    <w:rsid w:val="00A24E23"/>
    <w:rsid w:val="00A25132"/>
    <w:rsid w:val="00A254F0"/>
    <w:rsid w:val="00A276A2"/>
    <w:rsid w:val="00A35669"/>
    <w:rsid w:val="00A365DB"/>
    <w:rsid w:val="00A41FF2"/>
    <w:rsid w:val="00A433EE"/>
    <w:rsid w:val="00A44563"/>
    <w:rsid w:val="00A44DCA"/>
    <w:rsid w:val="00A4527B"/>
    <w:rsid w:val="00A51C7F"/>
    <w:rsid w:val="00A51F12"/>
    <w:rsid w:val="00A55150"/>
    <w:rsid w:val="00A56680"/>
    <w:rsid w:val="00A5709D"/>
    <w:rsid w:val="00A615D2"/>
    <w:rsid w:val="00A61784"/>
    <w:rsid w:val="00A64E68"/>
    <w:rsid w:val="00A66752"/>
    <w:rsid w:val="00A7062B"/>
    <w:rsid w:val="00A71DC5"/>
    <w:rsid w:val="00A737EB"/>
    <w:rsid w:val="00A75511"/>
    <w:rsid w:val="00A76D19"/>
    <w:rsid w:val="00A77B5B"/>
    <w:rsid w:val="00A810E7"/>
    <w:rsid w:val="00A84ADC"/>
    <w:rsid w:val="00A861FD"/>
    <w:rsid w:val="00A87D0A"/>
    <w:rsid w:val="00A87F14"/>
    <w:rsid w:val="00A95DB0"/>
    <w:rsid w:val="00A96485"/>
    <w:rsid w:val="00AA1949"/>
    <w:rsid w:val="00AA219A"/>
    <w:rsid w:val="00AA298F"/>
    <w:rsid w:val="00AA4CBD"/>
    <w:rsid w:val="00AB21D3"/>
    <w:rsid w:val="00AB2BDE"/>
    <w:rsid w:val="00AB2E04"/>
    <w:rsid w:val="00AB2FC7"/>
    <w:rsid w:val="00AB3660"/>
    <w:rsid w:val="00AB48A0"/>
    <w:rsid w:val="00AB4F3A"/>
    <w:rsid w:val="00AB5B13"/>
    <w:rsid w:val="00AB63C1"/>
    <w:rsid w:val="00AC0FD8"/>
    <w:rsid w:val="00AC1AE5"/>
    <w:rsid w:val="00AC2C2E"/>
    <w:rsid w:val="00AC3E66"/>
    <w:rsid w:val="00AC4097"/>
    <w:rsid w:val="00AC55B1"/>
    <w:rsid w:val="00AC7028"/>
    <w:rsid w:val="00AD2304"/>
    <w:rsid w:val="00AD3F28"/>
    <w:rsid w:val="00AD4376"/>
    <w:rsid w:val="00AD4C71"/>
    <w:rsid w:val="00AD5F82"/>
    <w:rsid w:val="00AD6561"/>
    <w:rsid w:val="00AD6EF9"/>
    <w:rsid w:val="00AD798D"/>
    <w:rsid w:val="00AE2260"/>
    <w:rsid w:val="00AE2F65"/>
    <w:rsid w:val="00AE41B7"/>
    <w:rsid w:val="00AE53C8"/>
    <w:rsid w:val="00AE53E8"/>
    <w:rsid w:val="00AE7A63"/>
    <w:rsid w:val="00AF1DD1"/>
    <w:rsid w:val="00AF21ED"/>
    <w:rsid w:val="00AF4938"/>
    <w:rsid w:val="00AF49CA"/>
    <w:rsid w:val="00AF6DA4"/>
    <w:rsid w:val="00AF6F97"/>
    <w:rsid w:val="00B0226F"/>
    <w:rsid w:val="00B030DB"/>
    <w:rsid w:val="00B0554D"/>
    <w:rsid w:val="00B078AA"/>
    <w:rsid w:val="00B10378"/>
    <w:rsid w:val="00B11D81"/>
    <w:rsid w:val="00B15153"/>
    <w:rsid w:val="00B16322"/>
    <w:rsid w:val="00B16BB6"/>
    <w:rsid w:val="00B219D2"/>
    <w:rsid w:val="00B23D01"/>
    <w:rsid w:val="00B305EF"/>
    <w:rsid w:val="00B30B09"/>
    <w:rsid w:val="00B30E23"/>
    <w:rsid w:val="00B30E96"/>
    <w:rsid w:val="00B31004"/>
    <w:rsid w:val="00B31DBF"/>
    <w:rsid w:val="00B33673"/>
    <w:rsid w:val="00B344A3"/>
    <w:rsid w:val="00B347C7"/>
    <w:rsid w:val="00B34C7F"/>
    <w:rsid w:val="00B3693D"/>
    <w:rsid w:val="00B43247"/>
    <w:rsid w:val="00B4393F"/>
    <w:rsid w:val="00B46900"/>
    <w:rsid w:val="00B477B7"/>
    <w:rsid w:val="00B51A67"/>
    <w:rsid w:val="00B538C3"/>
    <w:rsid w:val="00B643E2"/>
    <w:rsid w:val="00B655D9"/>
    <w:rsid w:val="00B65E02"/>
    <w:rsid w:val="00B66212"/>
    <w:rsid w:val="00B726EF"/>
    <w:rsid w:val="00B7394F"/>
    <w:rsid w:val="00B77147"/>
    <w:rsid w:val="00B80C9C"/>
    <w:rsid w:val="00B82709"/>
    <w:rsid w:val="00B83331"/>
    <w:rsid w:val="00B849AD"/>
    <w:rsid w:val="00B85E7B"/>
    <w:rsid w:val="00B869D6"/>
    <w:rsid w:val="00B90F81"/>
    <w:rsid w:val="00B90FE6"/>
    <w:rsid w:val="00B91ABA"/>
    <w:rsid w:val="00B944AA"/>
    <w:rsid w:val="00B95AAE"/>
    <w:rsid w:val="00BA175C"/>
    <w:rsid w:val="00BA18ED"/>
    <w:rsid w:val="00BA192A"/>
    <w:rsid w:val="00BA2381"/>
    <w:rsid w:val="00BA5C9D"/>
    <w:rsid w:val="00BA7DB2"/>
    <w:rsid w:val="00BB1C36"/>
    <w:rsid w:val="00BB2839"/>
    <w:rsid w:val="00BB4082"/>
    <w:rsid w:val="00BB42D1"/>
    <w:rsid w:val="00BB69EA"/>
    <w:rsid w:val="00BB7E93"/>
    <w:rsid w:val="00BC079E"/>
    <w:rsid w:val="00BC1242"/>
    <w:rsid w:val="00BC18C3"/>
    <w:rsid w:val="00BC1C7D"/>
    <w:rsid w:val="00BC230F"/>
    <w:rsid w:val="00BC35DD"/>
    <w:rsid w:val="00BC5625"/>
    <w:rsid w:val="00BC7DCD"/>
    <w:rsid w:val="00BD79D3"/>
    <w:rsid w:val="00BD7B24"/>
    <w:rsid w:val="00BE02B1"/>
    <w:rsid w:val="00BE14D3"/>
    <w:rsid w:val="00BE59AE"/>
    <w:rsid w:val="00BE6090"/>
    <w:rsid w:val="00BE7D56"/>
    <w:rsid w:val="00BF0263"/>
    <w:rsid w:val="00BF1079"/>
    <w:rsid w:val="00BF228A"/>
    <w:rsid w:val="00BF2A66"/>
    <w:rsid w:val="00BF5549"/>
    <w:rsid w:val="00BF5C0E"/>
    <w:rsid w:val="00BF5D09"/>
    <w:rsid w:val="00BF6E42"/>
    <w:rsid w:val="00C013F1"/>
    <w:rsid w:val="00C023AA"/>
    <w:rsid w:val="00C03A03"/>
    <w:rsid w:val="00C04384"/>
    <w:rsid w:val="00C0455F"/>
    <w:rsid w:val="00C04AFC"/>
    <w:rsid w:val="00C05F09"/>
    <w:rsid w:val="00C0635C"/>
    <w:rsid w:val="00C06AEC"/>
    <w:rsid w:val="00C06AFF"/>
    <w:rsid w:val="00C10832"/>
    <w:rsid w:val="00C135C3"/>
    <w:rsid w:val="00C145B1"/>
    <w:rsid w:val="00C155DC"/>
    <w:rsid w:val="00C159D7"/>
    <w:rsid w:val="00C16BB5"/>
    <w:rsid w:val="00C2103E"/>
    <w:rsid w:val="00C23928"/>
    <w:rsid w:val="00C249F1"/>
    <w:rsid w:val="00C24AC1"/>
    <w:rsid w:val="00C25379"/>
    <w:rsid w:val="00C26354"/>
    <w:rsid w:val="00C3110D"/>
    <w:rsid w:val="00C3366C"/>
    <w:rsid w:val="00C34281"/>
    <w:rsid w:val="00C347D8"/>
    <w:rsid w:val="00C354A6"/>
    <w:rsid w:val="00C362D0"/>
    <w:rsid w:val="00C36894"/>
    <w:rsid w:val="00C426F1"/>
    <w:rsid w:val="00C47C23"/>
    <w:rsid w:val="00C50ECB"/>
    <w:rsid w:val="00C512F5"/>
    <w:rsid w:val="00C51EDE"/>
    <w:rsid w:val="00C531E7"/>
    <w:rsid w:val="00C56CF8"/>
    <w:rsid w:val="00C577C0"/>
    <w:rsid w:val="00C618ED"/>
    <w:rsid w:val="00C63458"/>
    <w:rsid w:val="00C64D87"/>
    <w:rsid w:val="00C70587"/>
    <w:rsid w:val="00C70593"/>
    <w:rsid w:val="00C71063"/>
    <w:rsid w:val="00C713BA"/>
    <w:rsid w:val="00C71433"/>
    <w:rsid w:val="00C7346F"/>
    <w:rsid w:val="00C75486"/>
    <w:rsid w:val="00C75AA0"/>
    <w:rsid w:val="00C81514"/>
    <w:rsid w:val="00C827B4"/>
    <w:rsid w:val="00C8356E"/>
    <w:rsid w:val="00C87209"/>
    <w:rsid w:val="00C95292"/>
    <w:rsid w:val="00C95996"/>
    <w:rsid w:val="00C95AE1"/>
    <w:rsid w:val="00C95AEF"/>
    <w:rsid w:val="00C96453"/>
    <w:rsid w:val="00C96A74"/>
    <w:rsid w:val="00C970E8"/>
    <w:rsid w:val="00C97E4B"/>
    <w:rsid w:val="00C97ECE"/>
    <w:rsid w:val="00CA01FE"/>
    <w:rsid w:val="00CA0355"/>
    <w:rsid w:val="00CA1223"/>
    <w:rsid w:val="00CA21FE"/>
    <w:rsid w:val="00CA3990"/>
    <w:rsid w:val="00CA48E0"/>
    <w:rsid w:val="00CA53E4"/>
    <w:rsid w:val="00CA59B3"/>
    <w:rsid w:val="00CA6792"/>
    <w:rsid w:val="00CA7902"/>
    <w:rsid w:val="00CB0F1D"/>
    <w:rsid w:val="00CB3E21"/>
    <w:rsid w:val="00CC176E"/>
    <w:rsid w:val="00CC1CD9"/>
    <w:rsid w:val="00CC355B"/>
    <w:rsid w:val="00CC39F3"/>
    <w:rsid w:val="00CC68EB"/>
    <w:rsid w:val="00CC6DB1"/>
    <w:rsid w:val="00CD1A3C"/>
    <w:rsid w:val="00CD1C5A"/>
    <w:rsid w:val="00CD29A4"/>
    <w:rsid w:val="00CD49FF"/>
    <w:rsid w:val="00CD4DD4"/>
    <w:rsid w:val="00CD6322"/>
    <w:rsid w:val="00CE09DC"/>
    <w:rsid w:val="00CE1820"/>
    <w:rsid w:val="00CE2E73"/>
    <w:rsid w:val="00CE3BE9"/>
    <w:rsid w:val="00CE6AFD"/>
    <w:rsid w:val="00CF53FF"/>
    <w:rsid w:val="00CF55A6"/>
    <w:rsid w:val="00CF6243"/>
    <w:rsid w:val="00D000BD"/>
    <w:rsid w:val="00D00789"/>
    <w:rsid w:val="00D02855"/>
    <w:rsid w:val="00D02A74"/>
    <w:rsid w:val="00D04725"/>
    <w:rsid w:val="00D07C2E"/>
    <w:rsid w:val="00D10063"/>
    <w:rsid w:val="00D1056F"/>
    <w:rsid w:val="00D11CBD"/>
    <w:rsid w:val="00D15420"/>
    <w:rsid w:val="00D1648F"/>
    <w:rsid w:val="00D17313"/>
    <w:rsid w:val="00D202D5"/>
    <w:rsid w:val="00D205E6"/>
    <w:rsid w:val="00D22013"/>
    <w:rsid w:val="00D22E9D"/>
    <w:rsid w:val="00D234F7"/>
    <w:rsid w:val="00D243A9"/>
    <w:rsid w:val="00D2478B"/>
    <w:rsid w:val="00D24FDF"/>
    <w:rsid w:val="00D257EA"/>
    <w:rsid w:val="00D25AFE"/>
    <w:rsid w:val="00D25D93"/>
    <w:rsid w:val="00D31135"/>
    <w:rsid w:val="00D3255D"/>
    <w:rsid w:val="00D337C0"/>
    <w:rsid w:val="00D355FD"/>
    <w:rsid w:val="00D35630"/>
    <w:rsid w:val="00D35E7C"/>
    <w:rsid w:val="00D362E8"/>
    <w:rsid w:val="00D407F4"/>
    <w:rsid w:val="00D432E7"/>
    <w:rsid w:val="00D43890"/>
    <w:rsid w:val="00D4580E"/>
    <w:rsid w:val="00D45B29"/>
    <w:rsid w:val="00D45C34"/>
    <w:rsid w:val="00D508AA"/>
    <w:rsid w:val="00D515CD"/>
    <w:rsid w:val="00D526AA"/>
    <w:rsid w:val="00D52743"/>
    <w:rsid w:val="00D54117"/>
    <w:rsid w:val="00D62A59"/>
    <w:rsid w:val="00D719A6"/>
    <w:rsid w:val="00D73382"/>
    <w:rsid w:val="00D82138"/>
    <w:rsid w:val="00D85A7F"/>
    <w:rsid w:val="00D86060"/>
    <w:rsid w:val="00D903E2"/>
    <w:rsid w:val="00D906A0"/>
    <w:rsid w:val="00D90D72"/>
    <w:rsid w:val="00D913DD"/>
    <w:rsid w:val="00D92426"/>
    <w:rsid w:val="00D94399"/>
    <w:rsid w:val="00D94DE7"/>
    <w:rsid w:val="00D963B7"/>
    <w:rsid w:val="00DA11DA"/>
    <w:rsid w:val="00DA2D4A"/>
    <w:rsid w:val="00DA3B90"/>
    <w:rsid w:val="00DA4EB7"/>
    <w:rsid w:val="00DB0841"/>
    <w:rsid w:val="00DB180A"/>
    <w:rsid w:val="00DB2311"/>
    <w:rsid w:val="00DB4D5B"/>
    <w:rsid w:val="00DB5B7F"/>
    <w:rsid w:val="00DB62C0"/>
    <w:rsid w:val="00DB64A7"/>
    <w:rsid w:val="00DB6EC0"/>
    <w:rsid w:val="00DB7311"/>
    <w:rsid w:val="00DB77D0"/>
    <w:rsid w:val="00DB7C01"/>
    <w:rsid w:val="00DC0055"/>
    <w:rsid w:val="00DC0CB5"/>
    <w:rsid w:val="00DC160C"/>
    <w:rsid w:val="00DC1AFD"/>
    <w:rsid w:val="00DC1E32"/>
    <w:rsid w:val="00DC3332"/>
    <w:rsid w:val="00DC3D13"/>
    <w:rsid w:val="00DC40C0"/>
    <w:rsid w:val="00DC61A5"/>
    <w:rsid w:val="00DC6C7A"/>
    <w:rsid w:val="00DD09B0"/>
    <w:rsid w:val="00DD1159"/>
    <w:rsid w:val="00DD1BC2"/>
    <w:rsid w:val="00DD34DA"/>
    <w:rsid w:val="00DD35C0"/>
    <w:rsid w:val="00DD4965"/>
    <w:rsid w:val="00DD5E45"/>
    <w:rsid w:val="00DD71EE"/>
    <w:rsid w:val="00DE15E0"/>
    <w:rsid w:val="00DE63E7"/>
    <w:rsid w:val="00DE6E8D"/>
    <w:rsid w:val="00DF3F1E"/>
    <w:rsid w:val="00DF577D"/>
    <w:rsid w:val="00DF5BD2"/>
    <w:rsid w:val="00DF5CFB"/>
    <w:rsid w:val="00DF62E8"/>
    <w:rsid w:val="00E00227"/>
    <w:rsid w:val="00E01138"/>
    <w:rsid w:val="00E05DFD"/>
    <w:rsid w:val="00E06904"/>
    <w:rsid w:val="00E07E23"/>
    <w:rsid w:val="00E11A80"/>
    <w:rsid w:val="00E12055"/>
    <w:rsid w:val="00E137E4"/>
    <w:rsid w:val="00E13853"/>
    <w:rsid w:val="00E13F2A"/>
    <w:rsid w:val="00E15DD1"/>
    <w:rsid w:val="00E161D3"/>
    <w:rsid w:val="00E1628E"/>
    <w:rsid w:val="00E17120"/>
    <w:rsid w:val="00E171BE"/>
    <w:rsid w:val="00E21E54"/>
    <w:rsid w:val="00E21F15"/>
    <w:rsid w:val="00E233E6"/>
    <w:rsid w:val="00E264C4"/>
    <w:rsid w:val="00E275CE"/>
    <w:rsid w:val="00E27C04"/>
    <w:rsid w:val="00E32833"/>
    <w:rsid w:val="00E34718"/>
    <w:rsid w:val="00E34D1E"/>
    <w:rsid w:val="00E36DBC"/>
    <w:rsid w:val="00E378D9"/>
    <w:rsid w:val="00E37EF0"/>
    <w:rsid w:val="00E40352"/>
    <w:rsid w:val="00E4062E"/>
    <w:rsid w:val="00E47588"/>
    <w:rsid w:val="00E5257A"/>
    <w:rsid w:val="00E53A28"/>
    <w:rsid w:val="00E621D3"/>
    <w:rsid w:val="00E64ED1"/>
    <w:rsid w:val="00E65C3D"/>
    <w:rsid w:val="00E67254"/>
    <w:rsid w:val="00E6738A"/>
    <w:rsid w:val="00E67FC2"/>
    <w:rsid w:val="00E71261"/>
    <w:rsid w:val="00E71503"/>
    <w:rsid w:val="00E727AA"/>
    <w:rsid w:val="00E736AC"/>
    <w:rsid w:val="00E81921"/>
    <w:rsid w:val="00E820FA"/>
    <w:rsid w:val="00E85C9A"/>
    <w:rsid w:val="00E8794B"/>
    <w:rsid w:val="00E92798"/>
    <w:rsid w:val="00E932A7"/>
    <w:rsid w:val="00E96718"/>
    <w:rsid w:val="00EA0E41"/>
    <w:rsid w:val="00EA265D"/>
    <w:rsid w:val="00EA6049"/>
    <w:rsid w:val="00EB40A2"/>
    <w:rsid w:val="00EB524E"/>
    <w:rsid w:val="00EC0560"/>
    <w:rsid w:val="00EC0FCF"/>
    <w:rsid w:val="00EC1199"/>
    <w:rsid w:val="00EC1798"/>
    <w:rsid w:val="00EC2377"/>
    <w:rsid w:val="00EC5B4C"/>
    <w:rsid w:val="00EC6B04"/>
    <w:rsid w:val="00EC777C"/>
    <w:rsid w:val="00ED7E7E"/>
    <w:rsid w:val="00EE020F"/>
    <w:rsid w:val="00EE1D35"/>
    <w:rsid w:val="00EE1E30"/>
    <w:rsid w:val="00EF259D"/>
    <w:rsid w:val="00EF7D91"/>
    <w:rsid w:val="00F00253"/>
    <w:rsid w:val="00F00A63"/>
    <w:rsid w:val="00F00A9C"/>
    <w:rsid w:val="00F032BB"/>
    <w:rsid w:val="00F051E8"/>
    <w:rsid w:val="00F10472"/>
    <w:rsid w:val="00F1128F"/>
    <w:rsid w:val="00F1236D"/>
    <w:rsid w:val="00F13F83"/>
    <w:rsid w:val="00F14206"/>
    <w:rsid w:val="00F143F1"/>
    <w:rsid w:val="00F152C8"/>
    <w:rsid w:val="00F15355"/>
    <w:rsid w:val="00F1640B"/>
    <w:rsid w:val="00F1744C"/>
    <w:rsid w:val="00F20595"/>
    <w:rsid w:val="00F2364D"/>
    <w:rsid w:val="00F26B18"/>
    <w:rsid w:val="00F2719C"/>
    <w:rsid w:val="00F27A93"/>
    <w:rsid w:val="00F30858"/>
    <w:rsid w:val="00F31508"/>
    <w:rsid w:val="00F31D15"/>
    <w:rsid w:val="00F338F7"/>
    <w:rsid w:val="00F35AB2"/>
    <w:rsid w:val="00F3758C"/>
    <w:rsid w:val="00F42679"/>
    <w:rsid w:val="00F43B19"/>
    <w:rsid w:val="00F47931"/>
    <w:rsid w:val="00F47ECE"/>
    <w:rsid w:val="00F51A20"/>
    <w:rsid w:val="00F51B74"/>
    <w:rsid w:val="00F526A6"/>
    <w:rsid w:val="00F52B4A"/>
    <w:rsid w:val="00F5312D"/>
    <w:rsid w:val="00F5769F"/>
    <w:rsid w:val="00F622E0"/>
    <w:rsid w:val="00F631D5"/>
    <w:rsid w:val="00F642B5"/>
    <w:rsid w:val="00F642FD"/>
    <w:rsid w:val="00F64DEA"/>
    <w:rsid w:val="00F6563B"/>
    <w:rsid w:val="00F7053C"/>
    <w:rsid w:val="00F716A0"/>
    <w:rsid w:val="00F72A13"/>
    <w:rsid w:val="00F740E9"/>
    <w:rsid w:val="00F81DF3"/>
    <w:rsid w:val="00F83DD3"/>
    <w:rsid w:val="00F85AA4"/>
    <w:rsid w:val="00F861F9"/>
    <w:rsid w:val="00F91FDF"/>
    <w:rsid w:val="00F9289A"/>
    <w:rsid w:val="00F94068"/>
    <w:rsid w:val="00F95808"/>
    <w:rsid w:val="00F95E6A"/>
    <w:rsid w:val="00F95FB3"/>
    <w:rsid w:val="00F96C37"/>
    <w:rsid w:val="00F97A8B"/>
    <w:rsid w:val="00FA0157"/>
    <w:rsid w:val="00FA0866"/>
    <w:rsid w:val="00FA3DE6"/>
    <w:rsid w:val="00FA529F"/>
    <w:rsid w:val="00FA7351"/>
    <w:rsid w:val="00FB034C"/>
    <w:rsid w:val="00FB6F63"/>
    <w:rsid w:val="00FB7766"/>
    <w:rsid w:val="00FC40FF"/>
    <w:rsid w:val="00FC5393"/>
    <w:rsid w:val="00FC77FA"/>
    <w:rsid w:val="00FD01FF"/>
    <w:rsid w:val="00FD2F3E"/>
    <w:rsid w:val="00FD3377"/>
    <w:rsid w:val="00FD3B3A"/>
    <w:rsid w:val="00FD64AD"/>
    <w:rsid w:val="00FD76EE"/>
    <w:rsid w:val="00FE2562"/>
    <w:rsid w:val="00FE2F2D"/>
    <w:rsid w:val="00FE4AD7"/>
    <w:rsid w:val="00FE4F04"/>
    <w:rsid w:val="00FE5271"/>
    <w:rsid w:val="00FE7C52"/>
    <w:rsid w:val="00FF1E72"/>
    <w:rsid w:val="00FF5006"/>
    <w:rsid w:val="00FF5878"/>
    <w:rsid w:val="00FF6BAE"/>
    <w:rsid w:val="00FF7A6E"/>
    <w:rsid w:val="00FF7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592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F47"/>
    <w:rPr>
      <w:sz w:val="24"/>
      <w:szCs w:val="24"/>
      <w:lang w:eastAsia="zh-CN"/>
    </w:rPr>
  </w:style>
  <w:style w:type="paragraph" w:styleId="Heading1">
    <w:name w:val="heading 1"/>
    <w:basedOn w:val="Normal"/>
    <w:next w:val="Normal"/>
    <w:link w:val="Heading1Char"/>
    <w:uiPriority w:val="9"/>
    <w:qFormat/>
    <w:rsid w:val="00E233E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746F47"/>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746F47"/>
    <w:pPr>
      <w:spacing w:before="120" w:after="120"/>
      <w:ind w:left="1440" w:right="1440"/>
    </w:pPr>
  </w:style>
  <w:style w:type="paragraph" w:styleId="BodyText">
    <w:name w:val="Body Text"/>
    <w:basedOn w:val="Normal"/>
    <w:link w:val="BodyTextChar"/>
    <w:rsid w:val="00746F47"/>
    <w:pPr>
      <w:spacing w:before="120" w:after="120"/>
      <w:ind w:firstLine="720"/>
      <w:jc w:val="both"/>
    </w:pPr>
  </w:style>
  <w:style w:type="paragraph" w:styleId="Closing">
    <w:name w:val="Closing"/>
    <w:basedOn w:val="Normal"/>
    <w:rsid w:val="00746F47"/>
    <w:pPr>
      <w:ind w:left="4320"/>
    </w:pPr>
  </w:style>
  <w:style w:type="paragraph" w:styleId="Signature">
    <w:name w:val="Signature"/>
    <w:basedOn w:val="Normal"/>
    <w:rsid w:val="00746F47"/>
    <w:pPr>
      <w:ind w:left="4320"/>
    </w:pPr>
  </w:style>
  <w:style w:type="paragraph" w:styleId="Subtitle">
    <w:name w:val="Subtitle"/>
    <w:basedOn w:val="Normal"/>
    <w:qFormat/>
    <w:rsid w:val="00746F47"/>
    <w:pPr>
      <w:spacing w:before="120" w:after="240"/>
      <w:outlineLvl w:val="1"/>
    </w:pPr>
    <w:rPr>
      <w:rFonts w:cs="Arial"/>
      <w:b/>
    </w:rPr>
  </w:style>
  <w:style w:type="paragraph" w:styleId="EnvelopeAddress">
    <w:name w:val="envelope address"/>
    <w:basedOn w:val="Normal"/>
    <w:rsid w:val="00746F47"/>
    <w:pPr>
      <w:framePr w:w="7920" w:h="1980" w:hRule="exact" w:hSpace="180" w:wrap="auto" w:hAnchor="page" w:xAlign="center" w:yAlign="bottom"/>
      <w:ind w:left="2880"/>
    </w:pPr>
    <w:rPr>
      <w:rFonts w:cs="Arial"/>
    </w:rPr>
  </w:style>
  <w:style w:type="paragraph" w:styleId="EnvelopeReturn">
    <w:name w:val="envelope return"/>
    <w:basedOn w:val="Normal"/>
    <w:rsid w:val="00746F47"/>
    <w:rPr>
      <w:rFonts w:cs="Arial"/>
      <w:sz w:val="20"/>
      <w:szCs w:val="20"/>
    </w:rPr>
  </w:style>
  <w:style w:type="paragraph" w:customStyle="1" w:styleId="BodyTextDSFirstLine10Justified">
    <w:name w:val="Body Text DS First Line (1.0) Justified"/>
    <w:basedOn w:val="Normal"/>
    <w:rsid w:val="00746F47"/>
    <w:pPr>
      <w:spacing w:line="480" w:lineRule="auto"/>
      <w:ind w:firstLine="1440"/>
      <w:jc w:val="both"/>
    </w:pPr>
    <w:rPr>
      <w:lang w:eastAsia="en-US"/>
    </w:rPr>
  </w:style>
  <w:style w:type="paragraph" w:customStyle="1" w:styleId="BodyTextSSFirstLine5Justified">
    <w:name w:val="Body Text SS First Line (.5) Justified"/>
    <w:basedOn w:val="Normal"/>
    <w:rsid w:val="00746F47"/>
    <w:pPr>
      <w:spacing w:before="120" w:after="120"/>
      <w:ind w:firstLine="720"/>
      <w:jc w:val="both"/>
    </w:pPr>
  </w:style>
  <w:style w:type="paragraph" w:customStyle="1" w:styleId="BodyTextDSFirstLine5Justified">
    <w:name w:val="Body Text DS First Line (.5) Justified"/>
    <w:basedOn w:val="Normal"/>
    <w:rsid w:val="00746F47"/>
    <w:pPr>
      <w:spacing w:line="480" w:lineRule="auto"/>
      <w:ind w:firstLine="720"/>
      <w:jc w:val="both"/>
    </w:pPr>
  </w:style>
  <w:style w:type="paragraph" w:customStyle="1" w:styleId="BodyTextDSFirstLine5">
    <w:name w:val="Body Text DS First Line (.5)"/>
    <w:basedOn w:val="Normal"/>
    <w:rsid w:val="00746F47"/>
    <w:pPr>
      <w:spacing w:line="480" w:lineRule="auto"/>
      <w:ind w:firstLine="720"/>
    </w:pPr>
  </w:style>
  <w:style w:type="paragraph" w:customStyle="1" w:styleId="BodyTextDSFirstLine10">
    <w:name w:val="Body Text DS First Line (1.0)"/>
    <w:basedOn w:val="Normal"/>
    <w:rsid w:val="00746F47"/>
    <w:pPr>
      <w:spacing w:line="480" w:lineRule="auto"/>
      <w:ind w:firstLine="1440"/>
    </w:pPr>
  </w:style>
  <w:style w:type="paragraph" w:customStyle="1" w:styleId="BodyTextSSFirstLine5">
    <w:name w:val="Body Text SS First Line (.5 )"/>
    <w:basedOn w:val="Normal"/>
    <w:rsid w:val="00746F47"/>
    <w:pPr>
      <w:spacing w:before="120" w:after="120"/>
      <w:ind w:firstLine="720"/>
    </w:pPr>
  </w:style>
  <w:style w:type="paragraph" w:customStyle="1" w:styleId="BodyTextSSFirstLine10">
    <w:name w:val="Body Text SS First Line (1.0)"/>
    <w:basedOn w:val="Normal"/>
    <w:rsid w:val="00746F47"/>
    <w:pPr>
      <w:spacing w:before="120" w:after="120"/>
      <w:ind w:firstLine="1440"/>
    </w:pPr>
  </w:style>
  <w:style w:type="paragraph" w:customStyle="1" w:styleId="BodyTextSSFirstLine10Justified">
    <w:name w:val="Body Text SS First Line (1.0) Justified"/>
    <w:basedOn w:val="Normal"/>
    <w:rsid w:val="00746F47"/>
    <w:pPr>
      <w:spacing w:before="120" w:after="120"/>
      <w:ind w:firstLine="1440"/>
      <w:jc w:val="both"/>
    </w:pPr>
    <w:rPr>
      <w:lang w:eastAsia="en-US"/>
    </w:rPr>
  </w:style>
  <w:style w:type="paragraph" w:customStyle="1" w:styleId="Heading">
    <w:name w:val="Heading"/>
    <w:basedOn w:val="Normal"/>
    <w:rsid w:val="00746F47"/>
    <w:pPr>
      <w:spacing w:after="240"/>
      <w:jc w:val="center"/>
    </w:pPr>
    <w:rPr>
      <w:b/>
      <w:caps/>
      <w:u w:val="single"/>
    </w:rPr>
  </w:style>
  <w:style w:type="paragraph" w:customStyle="1" w:styleId="BodyTextLevel3">
    <w:name w:val="Body Text Level 3"/>
    <w:basedOn w:val="BodyText"/>
    <w:rsid w:val="00746F47"/>
    <w:pPr>
      <w:ind w:firstLine="2160"/>
    </w:pPr>
  </w:style>
  <w:style w:type="paragraph" w:styleId="Footer">
    <w:name w:val="footer"/>
    <w:basedOn w:val="Normal"/>
    <w:link w:val="FooterChar"/>
    <w:uiPriority w:val="99"/>
    <w:rsid w:val="00746F47"/>
    <w:pPr>
      <w:tabs>
        <w:tab w:val="center" w:pos="4320"/>
        <w:tab w:val="right" w:pos="8640"/>
      </w:tabs>
    </w:pPr>
    <w:rPr>
      <w:sz w:val="20"/>
      <w:szCs w:val="20"/>
      <w:lang w:eastAsia="en-US"/>
    </w:rPr>
  </w:style>
  <w:style w:type="character" w:styleId="PageNumber">
    <w:name w:val="page number"/>
    <w:basedOn w:val="DefaultParagraphFont"/>
    <w:rsid w:val="00746F47"/>
    <w:rPr>
      <w:rFonts w:cs="Times New Roman"/>
    </w:rPr>
  </w:style>
  <w:style w:type="paragraph" w:styleId="Header">
    <w:name w:val="header"/>
    <w:basedOn w:val="Normal"/>
    <w:link w:val="HeaderChar"/>
    <w:uiPriority w:val="99"/>
    <w:rsid w:val="00746F47"/>
    <w:pPr>
      <w:tabs>
        <w:tab w:val="center" w:pos="4320"/>
        <w:tab w:val="right" w:pos="8640"/>
      </w:tabs>
    </w:pPr>
    <w:rPr>
      <w:sz w:val="20"/>
      <w:szCs w:val="20"/>
      <w:lang w:eastAsia="en-US"/>
    </w:rPr>
  </w:style>
  <w:style w:type="paragraph" w:styleId="NormalWeb">
    <w:name w:val="Normal (Web)"/>
    <w:basedOn w:val="Normal"/>
    <w:uiPriority w:val="99"/>
    <w:rsid w:val="00746F47"/>
    <w:pPr>
      <w:spacing w:before="100" w:beforeAutospacing="1" w:after="100" w:afterAutospacing="1"/>
    </w:pPr>
    <w:rPr>
      <w:lang w:eastAsia="en-US"/>
    </w:rPr>
  </w:style>
  <w:style w:type="character" w:styleId="LineNumber">
    <w:name w:val="line number"/>
    <w:basedOn w:val="DefaultParagraphFont"/>
    <w:rsid w:val="00746F47"/>
    <w:rPr>
      <w:rFonts w:cs="Times New Roman"/>
    </w:rPr>
  </w:style>
  <w:style w:type="character" w:customStyle="1" w:styleId="BodyTextChar">
    <w:name w:val="Body Text Char"/>
    <w:basedOn w:val="DefaultParagraphFont"/>
    <w:link w:val="BodyText"/>
    <w:rsid w:val="00746F47"/>
    <w:rPr>
      <w:rFonts w:eastAsia="SimSun" w:cs="Times New Roman"/>
      <w:sz w:val="24"/>
      <w:szCs w:val="24"/>
      <w:lang w:val="en-US" w:eastAsia="zh-CN" w:bidi="ar-SA"/>
    </w:rPr>
  </w:style>
  <w:style w:type="character" w:customStyle="1" w:styleId="Char">
    <w:name w:val="Char"/>
    <w:basedOn w:val="DefaultParagraphFont"/>
    <w:rsid w:val="00746F47"/>
    <w:rPr>
      <w:rFonts w:eastAsia="SimSun" w:cs="Times New Roman"/>
      <w:sz w:val="24"/>
      <w:szCs w:val="24"/>
      <w:lang w:val="en-US" w:eastAsia="zh-CN" w:bidi="ar-SA"/>
    </w:rPr>
  </w:style>
  <w:style w:type="paragraph" w:styleId="BalloonText">
    <w:name w:val="Balloon Text"/>
    <w:basedOn w:val="Normal"/>
    <w:semiHidden/>
    <w:rsid w:val="00746F47"/>
    <w:rPr>
      <w:rFonts w:ascii="Tahoma" w:hAnsi="Tahoma" w:cs="Tahoma"/>
      <w:sz w:val="16"/>
      <w:szCs w:val="16"/>
    </w:rPr>
  </w:style>
  <w:style w:type="character" w:customStyle="1" w:styleId="Char1">
    <w:name w:val="Char1"/>
    <w:basedOn w:val="DefaultParagraphFont"/>
    <w:rsid w:val="00746F47"/>
    <w:rPr>
      <w:rFonts w:eastAsia="SimSun" w:cs="Times New Roman"/>
      <w:sz w:val="24"/>
      <w:szCs w:val="24"/>
      <w:lang w:val="en-US" w:eastAsia="zh-CN" w:bidi="ar-SA"/>
    </w:rPr>
  </w:style>
  <w:style w:type="paragraph" w:styleId="BodyTextIndent">
    <w:name w:val="Body Text Indent"/>
    <w:basedOn w:val="Normal"/>
    <w:rsid w:val="00746F47"/>
    <w:pPr>
      <w:spacing w:after="120"/>
      <w:ind w:left="360"/>
    </w:pPr>
  </w:style>
  <w:style w:type="character" w:customStyle="1" w:styleId="msoins0">
    <w:name w:val="msoins"/>
    <w:basedOn w:val="DefaultParagraphFont"/>
    <w:rsid w:val="00746F47"/>
    <w:rPr>
      <w:rFonts w:cs="Times New Roman"/>
    </w:rPr>
  </w:style>
  <w:style w:type="character" w:styleId="CommentReference">
    <w:name w:val="annotation reference"/>
    <w:basedOn w:val="DefaultParagraphFont"/>
    <w:semiHidden/>
    <w:rsid w:val="003D15DF"/>
    <w:rPr>
      <w:rFonts w:cs="Times New Roman"/>
      <w:sz w:val="16"/>
      <w:szCs w:val="16"/>
    </w:rPr>
  </w:style>
  <w:style w:type="paragraph" w:styleId="CommentText">
    <w:name w:val="annotation text"/>
    <w:basedOn w:val="Normal"/>
    <w:link w:val="CommentTextChar"/>
    <w:rsid w:val="003D15DF"/>
    <w:rPr>
      <w:sz w:val="20"/>
      <w:szCs w:val="20"/>
    </w:rPr>
  </w:style>
  <w:style w:type="character" w:customStyle="1" w:styleId="CommentTextChar">
    <w:name w:val="Comment Text Char"/>
    <w:basedOn w:val="DefaultParagraphFont"/>
    <w:link w:val="CommentText"/>
    <w:rsid w:val="003D15DF"/>
    <w:rPr>
      <w:rFonts w:cs="Times New Roman"/>
      <w:lang w:eastAsia="zh-CN"/>
    </w:rPr>
  </w:style>
  <w:style w:type="paragraph" w:styleId="CommentSubject">
    <w:name w:val="annotation subject"/>
    <w:basedOn w:val="CommentText"/>
    <w:next w:val="CommentText"/>
    <w:link w:val="CommentSubjectChar"/>
    <w:semiHidden/>
    <w:rsid w:val="003D15DF"/>
    <w:rPr>
      <w:b/>
      <w:bCs/>
    </w:rPr>
  </w:style>
  <w:style w:type="character" w:customStyle="1" w:styleId="CommentSubjectChar">
    <w:name w:val="Comment Subject Char"/>
    <w:basedOn w:val="CommentTextChar"/>
    <w:link w:val="CommentSubject"/>
    <w:rsid w:val="003D15DF"/>
    <w:rPr>
      <w:rFonts w:cs="Times New Roman"/>
      <w:b/>
      <w:bCs/>
      <w:lang w:eastAsia="zh-CN"/>
    </w:rPr>
  </w:style>
  <w:style w:type="paragraph" w:styleId="BodyTextIndent3">
    <w:name w:val="Body Text Indent 3"/>
    <w:basedOn w:val="Normal"/>
    <w:link w:val="BodyTextIndent3Char"/>
    <w:rsid w:val="0002001D"/>
    <w:pPr>
      <w:spacing w:after="120"/>
      <w:ind w:left="360"/>
    </w:pPr>
    <w:rPr>
      <w:sz w:val="16"/>
      <w:szCs w:val="16"/>
    </w:rPr>
  </w:style>
  <w:style w:type="character" w:customStyle="1" w:styleId="BodyTextIndent3Char">
    <w:name w:val="Body Text Indent 3 Char"/>
    <w:basedOn w:val="DefaultParagraphFont"/>
    <w:link w:val="BodyTextIndent3"/>
    <w:rsid w:val="0002001D"/>
    <w:rPr>
      <w:rFonts w:cs="Times New Roman"/>
      <w:sz w:val="16"/>
      <w:szCs w:val="16"/>
      <w:lang w:eastAsia="zh-CN"/>
    </w:rPr>
  </w:style>
  <w:style w:type="paragraph" w:styleId="BodyTextIndent2">
    <w:name w:val="Body Text Indent 2"/>
    <w:basedOn w:val="Normal"/>
    <w:link w:val="BodyTextIndent2Char"/>
    <w:rsid w:val="00D35BCF"/>
    <w:pPr>
      <w:spacing w:after="120" w:line="480" w:lineRule="auto"/>
      <w:ind w:left="360"/>
    </w:pPr>
    <w:rPr>
      <w:sz w:val="20"/>
      <w:szCs w:val="20"/>
      <w:lang w:eastAsia="en-US"/>
    </w:rPr>
  </w:style>
  <w:style w:type="character" w:customStyle="1" w:styleId="BodyTextIndent2Char">
    <w:name w:val="Body Text Indent 2 Char"/>
    <w:basedOn w:val="DefaultParagraphFont"/>
    <w:link w:val="BodyTextIndent2"/>
    <w:rsid w:val="00D35BCF"/>
    <w:rPr>
      <w:rFonts w:eastAsia="Times New Roman" w:cs="Times New Roman"/>
    </w:rPr>
  </w:style>
  <w:style w:type="paragraph" w:styleId="ListParagraph">
    <w:name w:val="List Paragraph"/>
    <w:basedOn w:val="Normal"/>
    <w:link w:val="ListParagraphChar"/>
    <w:uiPriority w:val="34"/>
    <w:qFormat/>
    <w:rsid w:val="002D1F31"/>
    <w:pPr>
      <w:ind w:left="720"/>
      <w:contextualSpacing/>
    </w:pPr>
  </w:style>
  <w:style w:type="character" w:customStyle="1" w:styleId="zzmpTrailerItem">
    <w:name w:val="zzmpTrailerItem"/>
    <w:basedOn w:val="DefaultParagraphFont"/>
    <w:rsid w:val="004C1474"/>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link w:val="FootnoteTextChar"/>
    <w:uiPriority w:val="99"/>
    <w:semiHidden/>
    <w:rsid w:val="002867B3"/>
    <w:rPr>
      <w:sz w:val="20"/>
      <w:szCs w:val="20"/>
    </w:rPr>
  </w:style>
  <w:style w:type="character" w:styleId="FootnoteReference">
    <w:name w:val="footnote reference"/>
    <w:basedOn w:val="DefaultParagraphFont"/>
    <w:uiPriority w:val="99"/>
    <w:semiHidden/>
    <w:rsid w:val="002867B3"/>
    <w:rPr>
      <w:vertAlign w:val="superscript"/>
    </w:rPr>
  </w:style>
  <w:style w:type="character" w:styleId="Emphasis">
    <w:name w:val="Emphasis"/>
    <w:basedOn w:val="DefaultParagraphFont"/>
    <w:qFormat/>
    <w:rsid w:val="002867B3"/>
    <w:rPr>
      <w:i/>
      <w:iCs/>
    </w:rPr>
  </w:style>
  <w:style w:type="paragraph" w:styleId="Revision">
    <w:name w:val="Revision"/>
    <w:hidden/>
    <w:uiPriority w:val="99"/>
    <w:semiHidden/>
    <w:rsid w:val="00C03199"/>
    <w:rPr>
      <w:sz w:val="24"/>
      <w:szCs w:val="24"/>
      <w:lang w:eastAsia="zh-CN"/>
    </w:rPr>
  </w:style>
  <w:style w:type="character" w:customStyle="1" w:styleId="HeaderChar">
    <w:name w:val="Header Char"/>
    <w:basedOn w:val="DefaultParagraphFont"/>
    <w:link w:val="Header"/>
    <w:uiPriority w:val="99"/>
    <w:rsid w:val="00AF0B79"/>
  </w:style>
  <w:style w:type="character" w:customStyle="1" w:styleId="Answer1Char">
    <w:name w:val="Answer 1 Char"/>
    <w:basedOn w:val="DefaultParagraphFont"/>
    <w:link w:val="Answer1"/>
    <w:locked/>
    <w:rsid w:val="00C40BB0"/>
    <w:rPr>
      <w:rFonts w:ascii="MS Mincho" w:eastAsia="MS Mincho"/>
      <w:szCs w:val="24"/>
    </w:rPr>
  </w:style>
  <w:style w:type="paragraph" w:customStyle="1" w:styleId="Answer1">
    <w:name w:val="Answer 1"/>
    <w:basedOn w:val="Normal"/>
    <w:next w:val="BodyText"/>
    <w:link w:val="Answer1Char"/>
    <w:rsid w:val="00C40BB0"/>
    <w:pPr>
      <w:numPr>
        <w:numId w:val="6"/>
      </w:numPr>
      <w:spacing w:after="240" w:line="360" w:lineRule="auto"/>
      <w:outlineLvl w:val="0"/>
    </w:pPr>
    <w:rPr>
      <w:rFonts w:ascii="MS Mincho" w:eastAsia="MS Mincho"/>
      <w:sz w:val="20"/>
      <w:lang w:eastAsia="en-US"/>
    </w:rPr>
  </w:style>
  <w:style w:type="paragraph" w:styleId="ListBullet">
    <w:name w:val="List Bullet"/>
    <w:basedOn w:val="Normal"/>
    <w:uiPriority w:val="99"/>
    <w:unhideWhenUsed/>
    <w:rsid w:val="000070EF"/>
    <w:pPr>
      <w:numPr>
        <w:numId w:val="7"/>
      </w:numPr>
      <w:contextualSpacing/>
    </w:pPr>
  </w:style>
  <w:style w:type="paragraph" w:customStyle="1" w:styleId="StandardL1">
    <w:name w:val="Standard_L1"/>
    <w:basedOn w:val="Normal"/>
    <w:next w:val="StandardL2"/>
    <w:rsid w:val="00EE387E"/>
    <w:pPr>
      <w:keepNext/>
      <w:numPr>
        <w:numId w:val="10"/>
      </w:numPr>
      <w:spacing w:after="240"/>
      <w:jc w:val="center"/>
      <w:outlineLvl w:val="0"/>
    </w:pPr>
    <w:rPr>
      <w:rFonts w:eastAsia="MS Mincho"/>
      <w:b/>
      <w:szCs w:val="20"/>
      <w:lang w:eastAsia="en-US"/>
    </w:rPr>
  </w:style>
  <w:style w:type="paragraph" w:customStyle="1" w:styleId="StandardL2">
    <w:name w:val="Standard_L2"/>
    <w:basedOn w:val="StandardL1"/>
    <w:next w:val="StandardL3"/>
    <w:link w:val="StandardL2Char"/>
    <w:rsid w:val="00EE387E"/>
    <w:pPr>
      <w:keepNext w:val="0"/>
      <w:numPr>
        <w:ilvl w:val="1"/>
      </w:numPr>
      <w:spacing w:after="0" w:line="360" w:lineRule="auto"/>
      <w:jc w:val="left"/>
      <w:outlineLvl w:val="1"/>
    </w:pPr>
  </w:style>
  <w:style w:type="paragraph" w:customStyle="1" w:styleId="StandardL3">
    <w:name w:val="Standard_L3"/>
    <w:basedOn w:val="StandardL2"/>
    <w:next w:val="StandardL2"/>
    <w:link w:val="StandardL3Char"/>
    <w:rsid w:val="00EE387E"/>
    <w:pPr>
      <w:numPr>
        <w:ilvl w:val="2"/>
      </w:numPr>
      <w:tabs>
        <w:tab w:val="clear" w:pos="2160"/>
      </w:tabs>
      <w:ind w:left="2160" w:hanging="180"/>
      <w:outlineLvl w:val="2"/>
    </w:pPr>
    <w:rPr>
      <w:b w:val="0"/>
    </w:rPr>
  </w:style>
  <w:style w:type="character" w:customStyle="1" w:styleId="StandardL3Char">
    <w:name w:val="Standard_L3 Char"/>
    <w:basedOn w:val="DefaultParagraphFont"/>
    <w:link w:val="StandardL3"/>
    <w:rsid w:val="00EE387E"/>
    <w:rPr>
      <w:rFonts w:eastAsia="MS Mincho"/>
      <w:sz w:val="24"/>
    </w:rPr>
  </w:style>
  <w:style w:type="character" w:customStyle="1" w:styleId="StandardL2Char">
    <w:name w:val="Standard_L2 Char"/>
    <w:basedOn w:val="DefaultParagraphFont"/>
    <w:link w:val="StandardL2"/>
    <w:rsid w:val="00EE387E"/>
    <w:rPr>
      <w:rFonts w:eastAsia="MS Mincho"/>
      <w:b/>
      <w:sz w:val="24"/>
    </w:rPr>
  </w:style>
  <w:style w:type="table" w:customStyle="1" w:styleId="ListTable2-Accent11">
    <w:name w:val="List Table 2 - Accent 11"/>
    <w:basedOn w:val="TableNormal"/>
    <w:uiPriority w:val="47"/>
    <w:rsid w:val="00EE387E"/>
    <w:rPr>
      <w:rFonts w:asciiTheme="minorHAnsi" w:eastAsiaTheme="minorHAnsi" w:hAnsiTheme="minorHAnsi" w:cstheme="minorBid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Indent">
    <w:name w:val="Indent"/>
    <w:basedOn w:val="Normal"/>
    <w:qFormat/>
    <w:rsid w:val="00EE387E"/>
    <w:pPr>
      <w:widowControl w:val="0"/>
      <w:tabs>
        <w:tab w:val="num" w:pos="720"/>
      </w:tabs>
      <w:spacing w:after="240" w:line="360" w:lineRule="auto"/>
      <w:ind w:left="720"/>
      <w:jc w:val="both"/>
      <w:outlineLvl w:val="1"/>
    </w:pPr>
    <w:rPr>
      <w:rFonts w:eastAsia="Times New Roman"/>
      <w:szCs w:val="20"/>
      <w:lang w:eastAsia="en-US"/>
    </w:rPr>
  </w:style>
  <w:style w:type="paragraph" w:customStyle="1" w:styleId="hang">
    <w:name w:val="hang"/>
    <w:basedOn w:val="Normal"/>
    <w:qFormat/>
    <w:rsid w:val="00EE387E"/>
    <w:pPr>
      <w:widowControl w:val="0"/>
      <w:spacing w:after="240" w:line="360" w:lineRule="auto"/>
      <w:ind w:left="720" w:hanging="720"/>
      <w:jc w:val="both"/>
      <w:outlineLvl w:val="1"/>
    </w:pPr>
    <w:rPr>
      <w:rFonts w:eastAsia="Times New Roman"/>
      <w:szCs w:val="20"/>
      <w:lang w:eastAsia="en-US"/>
    </w:rPr>
  </w:style>
  <w:style w:type="paragraph" w:customStyle="1" w:styleId="TestimonyQuestion">
    <w:name w:val="Testimony Question"/>
    <w:basedOn w:val="Normal"/>
    <w:rsid w:val="00134518"/>
    <w:pPr>
      <w:numPr>
        <w:numId w:val="14"/>
      </w:numPr>
      <w:spacing w:line="480" w:lineRule="auto"/>
      <w:jc w:val="both"/>
    </w:pPr>
    <w:rPr>
      <w:rFonts w:eastAsia="Times New Roman"/>
      <w:b/>
      <w:sz w:val="28"/>
      <w:szCs w:val="28"/>
      <w:lang w:eastAsia="en-US"/>
    </w:rPr>
  </w:style>
  <w:style w:type="character" w:customStyle="1" w:styleId="Heading1Char">
    <w:name w:val="Heading 1 Char"/>
    <w:basedOn w:val="DefaultParagraphFont"/>
    <w:link w:val="Heading1"/>
    <w:uiPriority w:val="9"/>
    <w:rsid w:val="00E233E6"/>
    <w:rPr>
      <w:rFonts w:asciiTheme="majorHAnsi" w:eastAsiaTheme="majorEastAsia" w:hAnsiTheme="majorHAnsi" w:cstheme="majorBidi"/>
      <w:color w:val="365F91" w:themeColor="accent1" w:themeShade="BF"/>
      <w:sz w:val="32"/>
      <w:szCs w:val="32"/>
      <w:lang w:eastAsia="zh-CN"/>
    </w:rPr>
  </w:style>
  <w:style w:type="paragraph" w:styleId="TOCHeading">
    <w:name w:val="TOC Heading"/>
    <w:basedOn w:val="Heading1"/>
    <w:next w:val="Normal"/>
    <w:uiPriority w:val="39"/>
    <w:unhideWhenUsed/>
    <w:qFormat/>
    <w:rsid w:val="00E233E6"/>
    <w:pPr>
      <w:spacing w:line="259" w:lineRule="auto"/>
      <w:outlineLvl w:val="9"/>
    </w:pPr>
    <w:rPr>
      <w:lang w:eastAsia="en-US"/>
    </w:rPr>
  </w:style>
  <w:style w:type="paragraph" w:styleId="TOC1">
    <w:name w:val="toc 1"/>
    <w:basedOn w:val="Normal"/>
    <w:next w:val="Normal"/>
    <w:autoRedefine/>
    <w:uiPriority w:val="39"/>
    <w:unhideWhenUsed/>
    <w:rsid w:val="00451E65"/>
    <w:pPr>
      <w:keepLines/>
      <w:tabs>
        <w:tab w:val="right" w:leader="dot" w:pos="9288"/>
      </w:tabs>
      <w:spacing w:after="240"/>
      <w:ind w:left="720" w:right="720" w:hanging="720"/>
    </w:pPr>
    <w:rPr>
      <w:rFonts w:eastAsia="Times New Roman"/>
      <w:szCs w:val="20"/>
      <w:lang w:eastAsia="en-US"/>
    </w:rPr>
  </w:style>
  <w:style w:type="paragraph" w:styleId="TOC2">
    <w:name w:val="toc 2"/>
    <w:basedOn w:val="Normal"/>
    <w:next w:val="Normal"/>
    <w:autoRedefine/>
    <w:uiPriority w:val="39"/>
    <w:unhideWhenUsed/>
    <w:rsid w:val="00E233E6"/>
    <w:pPr>
      <w:keepLines/>
      <w:tabs>
        <w:tab w:val="right" w:leader="dot" w:pos="9288"/>
      </w:tabs>
      <w:spacing w:after="120"/>
      <w:ind w:left="1440" w:right="720" w:hanging="720"/>
    </w:pPr>
    <w:rPr>
      <w:rFonts w:eastAsia="Times New Roman"/>
      <w:szCs w:val="20"/>
      <w:lang w:eastAsia="en-US"/>
    </w:rPr>
  </w:style>
  <w:style w:type="paragraph" w:styleId="TOC3">
    <w:name w:val="toc 3"/>
    <w:basedOn w:val="Normal"/>
    <w:next w:val="Normal"/>
    <w:autoRedefine/>
    <w:uiPriority w:val="39"/>
    <w:unhideWhenUsed/>
    <w:rsid w:val="006E2E96"/>
    <w:pPr>
      <w:keepLines/>
      <w:tabs>
        <w:tab w:val="right" w:leader="dot" w:pos="9288"/>
      </w:tabs>
      <w:spacing w:after="120"/>
      <w:ind w:left="2160" w:right="720" w:hanging="720"/>
    </w:pPr>
    <w:rPr>
      <w:rFonts w:eastAsia="Times New Roman"/>
      <w:szCs w:val="20"/>
      <w:lang w:eastAsia="en-US"/>
    </w:rPr>
  </w:style>
  <w:style w:type="character" w:styleId="Hyperlink">
    <w:name w:val="Hyperlink"/>
    <w:basedOn w:val="DefaultParagraphFont"/>
    <w:uiPriority w:val="99"/>
    <w:unhideWhenUsed/>
    <w:rsid w:val="00E233E6"/>
    <w:rPr>
      <w:color w:val="0000FF" w:themeColor="hyperlink"/>
      <w:u w:val="single"/>
    </w:rPr>
  </w:style>
  <w:style w:type="table" w:styleId="TableGrid">
    <w:name w:val="Table Grid"/>
    <w:basedOn w:val="TableNormal"/>
    <w:uiPriority w:val="59"/>
    <w:rsid w:val="00F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Cont1">
    <w:name w:val="Outline Cont 1"/>
    <w:basedOn w:val="Normal"/>
    <w:link w:val="OutlineCont1Char"/>
    <w:rsid w:val="00E378D9"/>
    <w:pPr>
      <w:spacing w:after="240"/>
      <w:ind w:firstLine="720"/>
    </w:pPr>
    <w:rPr>
      <w:rFonts w:eastAsia="Times New Roman"/>
      <w:szCs w:val="20"/>
      <w:lang w:eastAsia="en-US"/>
    </w:rPr>
  </w:style>
  <w:style w:type="character" w:customStyle="1" w:styleId="ListParagraphChar">
    <w:name w:val="List Paragraph Char"/>
    <w:basedOn w:val="DefaultParagraphFont"/>
    <w:link w:val="ListParagraph"/>
    <w:uiPriority w:val="34"/>
    <w:rsid w:val="00E378D9"/>
    <w:rPr>
      <w:sz w:val="24"/>
      <w:szCs w:val="24"/>
      <w:lang w:eastAsia="zh-CN"/>
    </w:rPr>
  </w:style>
  <w:style w:type="character" w:customStyle="1" w:styleId="OutlineCont1Char">
    <w:name w:val="Outline Cont 1 Char"/>
    <w:basedOn w:val="ListParagraphChar"/>
    <w:link w:val="OutlineCont1"/>
    <w:rsid w:val="00E378D9"/>
    <w:rPr>
      <w:rFonts w:eastAsia="Times New Roman"/>
      <w:sz w:val="24"/>
      <w:szCs w:val="24"/>
      <w:lang w:eastAsia="zh-CN"/>
    </w:rPr>
  </w:style>
  <w:style w:type="paragraph" w:customStyle="1" w:styleId="OutlineCont2">
    <w:name w:val="Outline Cont 2"/>
    <w:basedOn w:val="OutlineCont1"/>
    <w:link w:val="OutlineCont2Char"/>
    <w:rsid w:val="00E378D9"/>
    <w:pPr>
      <w:ind w:firstLine="1440"/>
    </w:pPr>
  </w:style>
  <w:style w:type="character" w:customStyle="1" w:styleId="OutlineCont2Char">
    <w:name w:val="Outline Cont 2 Char"/>
    <w:basedOn w:val="ListParagraphChar"/>
    <w:link w:val="OutlineCont2"/>
    <w:rsid w:val="00E378D9"/>
    <w:rPr>
      <w:rFonts w:eastAsia="Times New Roman"/>
      <w:sz w:val="24"/>
      <w:szCs w:val="24"/>
      <w:lang w:eastAsia="zh-CN"/>
    </w:rPr>
  </w:style>
  <w:style w:type="paragraph" w:customStyle="1" w:styleId="OutlineCont3">
    <w:name w:val="Outline Cont 3"/>
    <w:basedOn w:val="OutlineCont2"/>
    <w:link w:val="OutlineCont3Char"/>
    <w:rsid w:val="00E378D9"/>
    <w:pPr>
      <w:ind w:firstLine="2160"/>
    </w:pPr>
  </w:style>
  <w:style w:type="character" w:customStyle="1" w:styleId="OutlineCont3Char">
    <w:name w:val="Outline Cont 3 Char"/>
    <w:basedOn w:val="ListParagraphChar"/>
    <w:link w:val="OutlineCont3"/>
    <w:rsid w:val="00E378D9"/>
    <w:rPr>
      <w:rFonts w:eastAsia="Times New Roman"/>
      <w:sz w:val="24"/>
      <w:szCs w:val="24"/>
      <w:lang w:eastAsia="zh-CN"/>
    </w:rPr>
  </w:style>
  <w:style w:type="paragraph" w:customStyle="1" w:styleId="OutlineCont4">
    <w:name w:val="Outline Cont 4"/>
    <w:basedOn w:val="OutlineCont3"/>
    <w:link w:val="OutlineCont4Char"/>
    <w:rsid w:val="00E378D9"/>
    <w:pPr>
      <w:ind w:firstLine="2880"/>
    </w:pPr>
  </w:style>
  <w:style w:type="character" w:customStyle="1" w:styleId="OutlineCont4Char">
    <w:name w:val="Outline Cont 4 Char"/>
    <w:basedOn w:val="ListParagraphChar"/>
    <w:link w:val="OutlineCont4"/>
    <w:rsid w:val="00E378D9"/>
    <w:rPr>
      <w:rFonts w:eastAsia="Times New Roman"/>
      <w:sz w:val="24"/>
      <w:szCs w:val="24"/>
      <w:lang w:eastAsia="zh-CN"/>
    </w:rPr>
  </w:style>
  <w:style w:type="paragraph" w:customStyle="1" w:styleId="OutlineCont5">
    <w:name w:val="Outline Cont 5"/>
    <w:basedOn w:val="OutlineCont4"/>
    <w:link w:val="OutlineCont5Char"/>
    <w:rsid w:val="00E378D9"/>
    <w:pPr>
      <w:ind w:firstLine="3600"/>
    </w:pPr>
  </w:style>
  <w:style w:type="character" w:customStyle="1" w:styleId="OutlineCont5Char">
    <w:name w:val="Outline Cont 5 Char"/>
    <w:basedOn w:val="ListParagraphChar"/>
    <w:link w:val="OutlineCont5"/>
    <w:rsid w:val="00E378D9"/>
    <w:rPr>
      <w:rFonts w:eastAsia="Times New Roman"/>
      <w:sz w:val="24"/>
      <w:szCs w:val="24"/>
      <w:lang w:eastAsia="zh-CN"/>
    </w:rPr>
  </w:style>
  <w:style w:type="paragraph" w:customStyle="1" w:styleId="OutlineCont6">
    <w:name w:val="Outline Cont 6"/>
    <w:basedOn w:val="OutlineCont5"/>
    <w:link w:val="OutlineCont6Char"/>
    <w:rsid w:val="00E378D9"/>
    <w:pPr>
      <w:ind w:firstLine="4320"/>
    </w:pPr>
  </w:style>
  <w:style w:type="character" w:customStyle="1" w:styleId="OutlineCont6Char">
    <w:name w:val="Outline Cont 6 Char"/>
    <w:basedOn w:val="ListParagraphChar"/>
    <w:link w:val="OutlineCont6"/>
    <w:rsid w:val="00E378D9"/>
    <w:rPr>
      <w:rFonts w:eastAsia="Times New Roman"/>
      <w:sz w:val="24"/>
      <w:szCs w:val="24"/>
      <w:lang w:eastAsia="zh-CN"/>
    </w:rPr>
  </w:style>
  <w:style w:type="paragraph" w:customStyle="1" w:styleId="OutlineCont7">
    <w:name w:val="Outline Cont 7"/>
    <w:basedOn w:val="OutlineCont6"/>
    <w:link w:val="OutlineCont7Char"/>
    <w:rsid w:val="00E378D9"/>
    <w:pPr>
      <w:ind w:firstLine="5040"/>
    </w:pPr>
  </w:style>
  <w:style w:type="character" w:customStyle="1" w:styleId="OutlineCont7Char">
    <w:name w:val="Outline Cont 7 Char"/>
    <w:basedOn w:val="ListParagraphChar"/>
    <w:link w:val="OutlineCont7"/>
    <w:rsid w:val="00E378D9"/>
    <w:rPr>
      <w:rFonts w:eastAsia="Times New Roman"/>
      <w:sz w:val="24"/>
      <w:szCs w:val="24"/>
      <w:lang w:eastAsia="zh-CN"/>
    </w:rPr>
  </w:style>
  <w:style w:type="paragraph" w:customStyle="1" w:styleId="OutlineCont8">
    <w:name w:val="Outline Cont 8"/>
    <w:basedOn w:val="OutlineCont7"/>
    <w:link w:val="OutlineCont8Char"/>
    <w:rsid w:val="00E378D9"/>
    <w:pPr>
      <w:ind w:firstLine="5760"/>
    </w:pPr>
  </w:style>
  <w:style w:type="character" w:customStyle="1" w:styleId="OutlineCont8Char">
    <w:name w:val="Outline Cont 8 Char"/>
    <w:basedOn w:val="ListParagraphChar"/>
    <w:link w:val="OutlineCont8"/>
    <w:rsid w:val="00E378D9"/>
    <w:rPr>
      <w:rFonts w:eastAsia="Times New Roman"/>
      <w:sz w:val="24"/>
      <w:szCs w:val="24"/>
      <w:lang w:eastAsia="zh-CN"/>
    </w:rPr>
  </w:style>
  <w:style w:type="paragraph" w:customStyle="1" w:styleId="OutlineCont9">
    <w:name w:val="Outline Cont 9"/>
    <w:basedOn w:val="OutlineCont8"/>
    <w:link w:val="OutlineCont9Char"/>
    <w:rsid w:val="00E378D9"/>
    <w:pPr>
      <w:ind w:firstLine="6480"/>
    </w:pPr>
  </w:style>
  <w:style w:type="character" w:customStyle="1" w:styleId="OutlineCont9Char">
    <w:name w:val="Outline Cont 9 Char"/>
    <w:basedOn w:val="ListParagraphChar"/>
    <w:link w:val="OutlineCont9"/>
    <w:rsid w:val="00E378D9"/>
    <w:rPr>
      <w:rFonts w:eastAsia="Times New Roman"/>
      <w:sz w:val="24"/>
      <w:szCs w:val="24"/>
      <w:lang w:eastAsia="zh-CN"/>
    </w:rPr>
  </w:style>
  <w:style w:type="paragraph" w:customStyle="1" w:styleId="OutlineL1">
    <w:name w:val="Outline_L1"/>
    <w:basedOn w:val="Normal"/>
    <w:next w:val="BodyText"/>
    <w:link w:val="OutlineL1Char"/>
    <w:rsid w:val="00CA59B3"/>
    <w:pPr>
      <w:numPr>
        <w:numId w:val="16"/>
      </w:numPr>
      <w:spacing w:after="360"/>
      <w:jc w:val="center"/>
      <w:outlineLvl w:val="0"/>
    </w:pPr>
    <w:rPr>
      <w:rFonts w:eastAsia="Times New Roman"/>
      <w:b/>
      <w:szCs w:val="20"/>
      <w:u w:val="single"/>
      <w:lang w:eastAsia="en-US"/>
    </w:rPr>
  </w:style>
  <w:style w:type="character" w:customStyle="1" w:styleId="OutlineL1Char">
    <w:name w:val="Outline_L1 Char"/>
    <w:basedOn w:val="ListParagraphChar"/>
    <w:link w:val="OutlineL1"/>
    <w:rsid w:val="00CA59B3"/>
    <w:rPr>
      <w:rFonts w:eastAsia="Times New Roman"/>
      <w:b/>
      <w:sz w:val="24"/>
      <w:szCs w:val="24"/>
      <w:u w:val="single"/>
      <w:lang w:eastAsia="zh-CN"/>
    </w:rPr>
  </w:style>
  <w:style w:type="paragraph" w:customStyle="1" w:styleId="OutlineL2">
    <w:name w:val="Outline_L2"/>
    <w:basedOn w:val="OutlineL1"/>
    <w:next w:val="BodyText"/>
    <w:link w:val="OutlineL2Char"/>
    <w:rsid w:val="00E378D9"/>
    <w:pPr>
      <w:numPr>
        <w:ilvl w:val="1"/>
      </w:numPr>
      <w:jc w:val="left"/>
      <w:outlineLvl w:val="1"/>
    </w:pPr>
  </w:style>
  <w:style w:type="character" w:customStyle="1" w:styleId="OutlineL2Char">
    <w:name w:val="Outline_L2 Char"/>
    <w:basedOn w:val="ListParagraphChar"/>
    <w:link w:val="OutlineL2"/>
    <w:rsid w:val="00E378D9"/>
    <w:rPr>
      <w:rFonts w:eastAsia="Times New Roman"/>
      <w:b/>
      <w:sz w:val="24"/>
      <w:szCs w:val="24"/>
      <w:u w:val="single"/>
      <w:lang w:eastAsia="zh-CN"/>
    </w:rPr>
  </w:style>
  <w:style w:type="paragraph" w:customStyle="1" w:styleId="OutlineL3">
    <w:name w:val="Outline_L3"/>
    <w:basedOn w:val="OutlineL2"/>
    <w:next w:val="BodyText"/>
    <w:link w:val="OutlineL3Char"/>
    <w:rsid w:val="00E378D9"/>
    <w:pPr>
      <w:numPr>
        <w:ilvl w:val="2"/>
      </w:numPr>
      <w:outlineLvl w:val="2"/>
    </w:pPr>
  </w:style>
  <w:style w:type="character" w:customStyle="1" w:styleId="OutlineL3Char">
    <w:name w:val="Outline_L3 Char"/>
    <w:basedOn w:val="ListParagraphChar"/>
    <w:link w:val="OutlineL3"/>
    <w:rsid w:val="00E378D9"/>
    <w:rPr>
      <w:rFonts w:eastAsia="Times New Roman"/>
      <w:b/>
      <w:sz w:val="24"/>
      <w:szCs w:val="24"/>
      <w:u w:val="single"/>
      <w:lang w:eastAsia="zh-CN"/>
    </w:rPr>
  </w:style>
  <w:style w:type="paragraph" w:customStyle="1" w:styleId="OutlineL4">
    <w:name w:val="Outline_L4"/>
    <w:basedOn w:val="OutlineL3"/>
    <w:next w:val="BodyText"/>
    <w:link w:val="OutlineL4Char"/>
    <w:rsid w:val="00E378D9"/>
    <w:pPr>
      <w:numPr>
        <w:ilvl w:val="3"/>
      </w:numPr>
      <w:outlineLvl w:val="3"/>
    </w:pPr>
  </w:style>
  <w:style w:type="character" w:customStyle="1" w:styleId="OutlineL4Char">
    <w:name w:val="Outline_L4 Char"/>
    <w:basedOn w:val="ListParagraphChar"/>
    <w:link w:val="OutlineL4"/>
    <w:rsid w:val="00E378D9"/>
    <w:rPr>
      <w:rFonts w:eastAsia="Times New Roman"/>
      <w:b/>
      <w:sz w:val="24"/>
      <w:szCs w:val="24"/>
      <w:u w:val="single"/>
      <w:lang w:eastAsia="zh-CN"/>
    </w:rPr>
  </w:style>
  <w:style w:type="paragraph" w:customStyle="1" w:styleId="OutlineL5">
    <w:name w:val="Outline_L5"/>
    <w:basedOn w:val="OutlineL4"/>
    <w:next w:val="BodyText"/>
    <w:link w:val="OutlineL5Char"/>
    <w:rsid w:val="00E378D9"/>
    <w:pPr>
      <w:numPr>
        <w:ilvl w:val="4"/>
      </w:numPr>
      <w:outlineLvl w:val="4"/>
    </w:pPr>
  </w:style>
  <w:style w:type="character" w:customStyle="1" w:styleId="OutlineL5Char">
    <w:name w:val="Outline_L5 Char"/>
    <w:basedOn w:val="ListParagraphChar"/>
    <w:link w:val="OutlineL5"/>
    <w:rsid w:val="00E378D9"/>
    <w:rPr>
      <w:rFonts w:eastAsia="Times New Roman"/>
      <w:b/>
      <w:sz w:val="24"/>
      <w:szCs w:val="24"/>
      <w:u w:val="single"/>
      <w:lang w:eastAsia="zh-CN"/>
    </w:rPr>
  </w:style>
  <w:style w:type="paragraph" w:customStyle="1" w:styleId="OutlineL6">
    <w:name w:val="Outline_L6"/>
    <w:basedOn w:val="OutlineL5"/>
    <w:next w:val="BodyText"/>
    <w:link w:val="OutlineL6Char"/>
    <w:rsid w:val="00E378D9"/>
    <w:pPr>
      <w:numPr>
        <w:ilvl w:val="5"/>
      </w:numPr>
      <w:outlineLvl w:val="5"/>
    </w:pPr>
  </w:style>
  <w:style w:type="character" w:customStyle="1" w:styleId="OutlineL6Char">
    <w:name w:val="Outline_L6 Char"/>
    <w:basedOn w:val="ListParagraphChar"/>
    <w:link w:val="OutlineL6"/>
    <w:rsid w:val="00E378D9"/>
    <w:rPr>
      <w:rFonts w:eastAsia="Times New Roman"/>
      <w:b/>
      <w:sz w:val="24"/>
      <w:szCs w:val="24"/>
      <w:u w:val="single"/>
      <w:lang w:eastAsia="zh-CN"/>
    </w:rPr>
  </w:style>
  <w:style w:type="paragraph" w:customStyle="1" w:styleId="OutlineL7">
    <w:name w:val="Outline_L7"/>
    <w:basedOn w:val="OutlineL6"/>
    <w:next w:val="BodyText"/>
    <w:link w:val="OutlineL7Char"/>
    <w:rsid w:val="00E378D9"/>
    <w:pPr>
      <w:numPr>
        <w:ilvl w:val="6"/>
      </w:numPr>
      <w:outlineLvl w:val="6"/>
    </w:pPr>
  </w:style>
  <w:style w:type="character" w:customStyle="1" w:styleId="OutlineL7Char">
    <w:name w:val="Outline_L7 Char"/>
    <w:basedOn w:val="ListParagraphChar"/>
    <w:link w:val="OutlineL7"/>
    <w:rsid w:val="00E378D9"/>
    <w:rPr>
      <w:rFonts w:eastAsia="Times New Roman"/>
      <w:b/>
      <w:sz w:val="24"/>
      <w:szCs w:val="24"/>
      <w:u w:val="single"/>
      <w:lang w:eastAsia="zh-CN"/>
    </w:rPr>
  </w:style>
  <w:style w:type="paragraph" w:customStyle="1" w:styleId="OutlineL8">
    <w:name w:val="Outline_L8"/>
    <w:basedOn w:val="OutlineL7"/>
    <w:next w:val="BodyText"/>
    <w:link w:val="OutlineL8Char"/>
    <w:rsid w:val="00E378D9"/>
    <w:pPr>
      <w:numPr>
        <w:ilvl w:val="7"/>
      </w:numPr>
      <w:outlineLvl w:val="7"/>
    </w:pPr>
  </w:style>
  <w:style w:type="character" w:customStyle="1" w:styleId="OutlineL8Char">
    <w:name w:val="Outline_L8 Char"/>
    <w:basedOn w:val="ListParagraphChar"/>
    <w:link w:val="OutlineL8"/>
    <w:rsid w:val="00E378D9"/>
    <w:rPr>
      <w:rFonts w:eastAsia="Times New Roman"/>
      <w:b/>
      <w:sz w:val="24"/>
      <w:szCs w:val="24"/>
      <w:u w:val="single"/>
      <w:lang w:eastAsia="zh-CN"/>
    </w:rPr>
  </w:style>
  <w:style w:type="paragraph" w:customStyle="1" w:styleId="OutlineL9">
    <w:name w:val="Outline_L9"/>
    <w:basedOn w:val="OutlineL8"/>
    <w:next w:val="BodyText"/>
    <w:link w:val="OutlineL9Char"/>
    <w:rsid w:val="00E378D9"/>
    <w:pPr>
      <w:numPr>
        <w:ilvl w:val="8"/>
      </w:numPr>
      <w:outlineLvl w:val="8"/>
    </w:pPr>
  </w:style>
  <w:style w:type="character" w:customStyle="1" w:styleId="OutlineL9Char">
    <w:name w:val="Outline_L9 Char"/>
    <w:basedOn w:val="ListParagraphChar"/>
    <w:link w:val="OutlineL9"/>
    <w:rsid w:val="00E378D9"/>
    <w:rPr>
      <w:rFonts w:eastAsia="Times New Roman"/>
      <w:b/>
      <w:sz w:val="24"/>
      <w:szCs w:val="24"/>
      <w:u w:val="single"/>
      <w:lang w:eastAsia="zh-CN"/>
    </w:rPr>
  </w:style>
  <w:style w:type="paragraph" w:customStyle="1" w:styleId="TOCHeader">
    <w:name w:val="TOC Header"/>
    <w:basedOn w:val="Normal"/>
    <w:rsid w:val="00972855"/>
    <w:pPr>
      <w:ind w:left="115" w:right="115"/>
      <w:jc w:val="center"/>
    </w:pPr>
    <w:rPr>
      <w:rFonts w:eastAsia="Times New Roman"/>
      <w:szCs w:val="20"/>
      <w:lang w:eastAsia="en-US"/>
    </w:rPr>
  </w:style>
  <w:style w:type="paragraph" w:styleId="TableofAuthorities">
    <w:name w:val="table of authorities"/>
    <w:basedOn w:val="Normal"/>
    <w:next w:val="Normal"/>
    <w:uiPriority w:val="99"/>
    <w:semiHidden/>
    <w:unhideWhenUsed/>
    <w:rsid w:val="00972855"/>
    <w:pPr>
      <w:ind w:left="240" w:hanging="240"/>
    </w:pPr>
  </w:style>
  <w:style w:type="paragraph" w:styleId="TOC4">
    <w:name w:val="toc 4"/>
    <w:basedOn w:val="Normal"/>
    <w:next w:val="Normal"/>
    <w:autoRedefine/>
    <w:uiPriority w:val="39"/>
    <w:semiHidden/>
    <w:unhideWhenUsed/>
    <w:rsid w:val="00972855"/>
    <w:pPr>
      <w:keepLines/>
      <w:tabs>
        <w:tab w:val="right" w:leader="dot" w:pos="9288"/>
      </w:tabs>
      <w:spacing w:after="120"/>
      <w:ind w:left="2880" w:right="720" w:hanging="720"/>
    </w:pPr>
    <w:rPr>
      <w:rFonts w:eastAsia="Times New Roman"/>
      <w:szCs w:val="20"/>
      <w:lang w:eastAsia="en-US"/>
    </w:rPr>
  </w:style>
  <w:style w:type="paragraph" w:styleId="TOC5">
    <w:name w:val="toc 5"/>
    <w:basedOn w:val="Normal"/>
    <w:next w:val="Normal"/>
    <w:autoRedefine/>
    <w:uiPriority w:val="39"/>
    <w:semiHidden/>
    <w:unhideWhenUsed/>
    <w:rsid w:val="00972855"/>
    <w:pPr>
      <w:keepLines/>
      <w:tabs>
        <w:tab w:val="right" w:leader="dot" w:pos="9288"/>
      </w:tabs>
      <w:spacing w:after="120"/>
      <w:ind w:left="3600" w:right="720" w:hanging="720"/>
    </w:pPr>
    <w:rPr>
      <w:rFonts w:eastAsia="Times New Roman"/>
      <w:szCs w:val="20"/>
      <w:lang w:eastAsia="en-US"/>
    </w:rPr>
  </w:style>
  <w:style w:type="paragraph" w:styleId="TOC6">
    <w:name w:val="toc 6"/>
    <w:basedOn w:val="Normal"/>
    <w:next w:val="Normal"/>
    <w:autoRedefine/>
    <w:uiPriority w:val="39"/>
    <w:semiHidden/>
    <w:unhideWhenUsed/>
    <w:rsid w:val="00972855"/>
    <w:pPr>
      <w:keepLines/>
      <w:tabs>
        <w:tab w:val="right" w:leader="dot" w:pos="9288"/>
      </w:tabs>
      <w:spacing w:after="120"/>
      <w:ind w:left="4320" w:right="720" w:hanging="720"/>
    </w:pPr>
    <w:rPr>
      <w:rFonts w:eastAsia="Times New Roman"/>
      <w:szCs w:val="20"/>
      <w:lang w:eastAsia="en-US"/>
    </w:rPr>
  </w:style>
  <w:style w:type="paragraph" w:styleId="TOC7">
    <w:name w:val="toc 7"/>
    <w:basedOn w:val="Normal"/>
    <w:next w:val="Normal"/>
    <w:autoRedefine/>
    <w:uiPriority w:val="39"/>
    <w:semiHidden/>
    <w:unhideWhenUsed/>
    <w:rsid w:val="00972855"/>
    <w:pPr>
      <w:keepLines/>
      <w:tabs>
        <w:tab w:val="right" w:leader="dot" w:pos="9288"/>
      </w:tabs>
      <w:spacing w:after="120"/>
      <w:ind w:left="5040" w:right="720" w:hanging="720"/>
    </w:pPr>
    <w:rPr>
      <w:rFonts w:eastAsia="Times New Roman"/>
      <w:szCs w:val="20"/>
      <w:lang w:eastAsia="en-US"/>
    </w:rPr>
  </w:style>
  <w:style w:type="paragraph" w:styleId="TOC8">
    <w:name w:val="toc 8"/>
    <w:basedOn w:val="Normal"/>
    <w:next w:val="Normal"/>
    <w:autoRedefine/>
    <w:uiPriority w:val="39"/>
    <w:semiHidden/>
    <w:unhideWhenUsed/>
    <w:rsid w:val="00972855"/>
    <w:pPr>
      <w:keepLines/>
      <w:tabs>
        <w:tab w:val="right" w:leader="dot" w:pos="9288"/>
      </w:tabs>
      <w:spacing w:after="120"/>
      <w:ind w:left="5760" w:right="720" w:hanging="720"/>
    </w:pPr>
    <w:rPr>
      <w:rFonts w:eastAsia="Times New Roman"/>
      <w:szCs w:val="20"/>
      <w:lang w:eastAsia="en-US"/>
    </w:rPr>
  </w:style>
  <w:style w:type="paragraph" w:styleId="TOC9">
    <w:name w:val="toc 9"/>
    <w:basedOn w:val="Normal"/>
    <w:next w:val="Normal"/>
    <w:autoRedefine/>
    <w:uiPriority w:val="39"/>
    <w:semiHidden/>
    <w:unhideWhenUsed/>
    <w:rsid w:val="00972855"/>
    <w:pPr>
      <w:keepLines/>
      <w:tabs>
        <w:tab w:val="right" w:leader="dot" w:pos="9288"/>
      </w:tabs>
      <w:spacing w:after="120"/>
      <w:ind w:left="6480" w:right="720" w:hanging="720"/>
    </w:pPr>
    <w:rPr>
      <w:rFonts w:eastAsia="Times New Roman"/>
      <w:szCs w:val="20"/>
      <w:lang w:eastAsia="en-US"/>
    </w:rPr>
  </w:style>
  <w:style w:type="character" w:customStyle="1" w:styleId="FootnoteTextChar">
    <w:name w:val="Footnote Text Char"/>
    <w:basedOn w:val="DefaultParagraphFont"/>
    <w:link w:val="FootnoteText"/>
    <w:uiPriority w:val="99"/>
    <w:semiHidden/>
    <w:rsid w:val="00186CEE"/>
    <w:rPr>
      <w:lang w:eastAsia="zh-CN"/>
    </w:rPr>
  </w:style>
  <w:style w:type="character" w:customStyle="1" w:styleId="FooterChar">
    <w:name w:val="Footer Char"/>
    <w:basedOn w:val="DefaultParagraphFont"/>
    <w:link w:val="Footer"/>
    <w:uiPriority w:val="99"/>
    <w:rsid w:val="007A2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2528">
      <w:bodyDiv w:val="1"/>
      <w:marLeft w:val="0"/>
      <w:marRight w:val="0"/>
      <w:marTop w:val="0"/>
      <w:marBottom w:val="0"/>
      <w:divBdr>
        <w:top w:val="none" w:sz="0" w:space="0" w:color="auto"/>
        <w:left w:val="none" w:sz="0" w:space="0" w:color="auto"/>
        <w:bottom w:val="none" w:sz="0" w:space="0" w:color="auto"/>
        <w:right w:val="none" w:sz="0" w:space="0" w:color="auto"/>
      </w:divBdr>
      <w:divsChild>
        <w:div w:id="1618023882">
          <w:marLeft w:val="0"/>
          <w:marRight w:val="0"/>
          <w:marTop w:val="0"/>
          <w:marBottom w:val="0"/>
          <w:divBdr>
            <w:top w:val="none" w:sz="0" w:space="0" w:color="auto"/>
            <w:left w:val="none" w:sz="0" w:space="0" w:color="auto"/>
            <w:bottom w:val="none" w:sz="0" w:space="0" w:color="auto"/>
            <w:right w:val="none" w:sz="0" w:space="0" w:color="auto"/>
          </w:divBdr>
        </w:div>
      </w:divsChild>
    </w:div>
    <w:div w:id="26411133">
      <w:bodyDiv w:val="1"/>
      <w:marLeft w:val="0"/>
      <w:marRight w:val="0"/>
      <w:marTop w:val="0"/>
      <w:marBottom w:val="0"/>
      <w:divBdr>
        <w:top w:val="none" w:sz="0" w:space="0" w:color="auto"/>
        <w:left w:val="none" w:sz="0" w:space="0" w:color="auto"/>
        <w:bottom w:val="none" w:sz="0" w:space="0" w:color="auto"/>
        <w:right w:val="none" w:sz="0" w:space="0" w:color="auto"/>
      </w:divBdr>
    </w:div>
    <w:div w:id="36123922">
      <w:bodyDiv w:val="1"/>
      <w:marLeft w:val="0"/>
      <w:marRight w:val="0"/>
      <w:marTop w:val="0"/>
      <w:marBottom w:val="0"/>
      <w:divBdr>
        <w:top w:val="none" w:sz="0" w:space="0" w:color="auto"/>
        <w:left w:val="none" w:sz="0" w:space="0" w:color="auto"/>
        <w:bottom w:val="none" w:sz="0" w:space="0" w:color="auto"/>
        <w:right w:val="none" w:sz="0" w:space="0" w:color="auto"/>
      </w:divBdr>
    </w:div>
    <w:div w:id="68424857">
      <w:bodyDiv w:val="1"/>
      <w:marLeft w:val="0"/>
      <w:marRight w:val="0"/>
      <w:marTop w:val="0"/>
      <w:marBottom w:val="0"/>
      <w:divBdr>
        <w:top w:val="none" w:sz="0" w:space="0" w:color="auto"/>
        <w:left w:val="none" w:sz="0" w:space="0" w:color="auto"/>
        <w:bottom w:val="none" w:sz="0" w:space="0" w:color="auto"/>
        <w:right w:val="none" w:sz="0" w:space="0" w:color="auto"/>
      </w:divBdr>
    </w:div>
    <w:div w:id="412973370">
      <w:bodyDiv w:val="1"/>
      <w:marLeft w:val="0"/>
      <w:marRight w:val="0"/>
      <w:marTop w:val="0"/>
      <w:marBottom w:val="0"/>
      <w:divBdr>
        <w:top w:val="none" w:sz="0" w:space="0" w:color="auto"/>
        <w:left w:val="none" w:sz="0" w:space="0" w:color="auto"/>
        <w:bottom w:val="none" w:sz="0" w:space="0" w:color="auto"/>
        <w:right w:val="none" w:sz="0" w:space="0" w:color="auto"/>
      </w:divBdr>
    </w:div>
    <w:div w:id="424349681">
      <w:bodyDiv w:val="1"/>
      <w:marLeft w:val="0"/>
      <w:marRight w:val="0"/>
      <w:marTop w:val="0"/>
      <w:marBottom w:val="0"/>
      <w:divBdr>
        <w:top w:val="none" w:sz="0" w:space="0" w:color="auto"/>
        <w:left w:val="none" w:sz="0" w:space="0" w:color="auto"/>
        <w:bottom w:val="none" w:sz="0" w:space="0" w:color="auto"/>
        <w:right w:val="none" w:sz="0" w:space="0" w:color="auto"/>
      </w:divBdr>
    </w:div>
    <w:div w:id="643200083">
      <w:bodyDiv w:val="1"/>
      <w:marLeft w:val="0"/>
      <w:marRight w:val="0"/>
      <w:marTop w:val="0"/>
      <w:marBottom w:val="0"/>
      <w:divBdr>
        <w:top w:val="none" w:sz="0" w:space="0" w:color="auto"/>
        <w:left w:val="none" w:sz="0" w:space="0" w:color="auto"/>
        <w:bottom w:val="none" w:sz="0" w:space="0" w:color="auto"/>
        <w:right w:val="none" w:sz="0" w:space="0" w:color="auto"/>
      </w:divBdr>
    </w:div>
    <w:div w:id="723451962">
      <w:bodyDiv w:val="1"/>
      <w:marLeft w:val="0"/>
      <w:marRight w:val="0"/>
      <w:marTop w:val="0"/>
      <w:marBottom w:val="0"/>
      <w:divBdr>
        <w:top w:val="none" w:sz="0" w:space="0" w:color="auto"/>
        <w:left w:val="none" w:sz="0" w:space="0" w:color="auto"/>
        <w:bottom w:val="none" w:sz="0" w:space="0" w:color="auto"/>
        <w:right w:val="none" w:sz="0" w:space="0" w:color="auto"/>
      </w:divBdr>
    </w:div>
    <w:div w:id="842160820">
      <w:bodyDiv w:val="1"/>
      <w:marLeft w:val="0"/>
      <w:marRight w:val="0"/>
      <w:marTop w:val="0"/>
      <w:marBottom w:val="0"/>
      <w:divBdr>
        <w:top w:val="none" w:sz="0" w:space="0" w:color="auto"/>
        <w:left w:val="none" w:sz="0" w:space="0" w:color="auto"/>
        <w:bottom w:val="none" w:sz="0" w:space="0" w:color="auto"/>
        <w:right w:val="none" w:sz="0" w:space="0" w:color="auto"/>
      </w:divBdr>
    </w:div>
    <w:div w:id="975184480">
      <w:bodyDiv w:val="1"/>
      <w:marLeft w:val="0"/>
      <w:marRight w:val="0"/>
      <w:marTop w:val="0"/>
      <w:marBottom w:val="0"/>
      <w:divBdr>
        <w:top w:val="none" w:sz="0" w:space="0" w:color="auto"/>
        <w:left w:val="none" w:sz="0" w:space="0" w:color="auto"/>
        <w:bottom w:val="none" w:sz="0" w:space="0" w:color="auto"/>
        <w:right w:val="none" w:sz="0" w:space="0" w:color="auto"/>
      </w:divBdr>
      <w:divsChild>
        <w:div w:id="1985503774">
          <w:marLeft w:val="0"/>
          <w:marRight w:val="0"/>
          <w:marTop w:val="0"/>
          <w:marBottom w:val="0"/>
          <w:divBdr>
            <w:top w:val="none" w:sz="0" w:space="0" w:color="auto"/>
            <w:left w:val="none" w:sz="0" w:space="0" w:color="auto"/>
            <w:bottom w:val="none" w:sz="0" w:space="0" w:color="auto"/>
            <w:right w:val="none" w:sz="0" w:space="0" w:color="auto"/>
          </w:divBdr>
        </w:div>
      </w:divsChild>
    </w:div>
    <w:div w:id="1011951675">
      <w:bodyDiv w:val="1"/>
      <w:marLeft w:val="0"/>
      <w:marRight w:val="0"/>
      <w:marTop w:val="0"/>
      <w:marBottom w:val="0"/>
      <w:divBdr>
        <w:top w:val="none" w:sz="0" w:space="0" w:color="auto"/>
        <w:left w:val="none" w:sz="0" w:space="0" w:color="auto"/>
        <w:bottom w:val="none" w:sz="0" w:space="0" w:color="auto"/>
        <w:right w:val="none" w:sz="0" w:space="0" w:color="auto"/>
      </w:divBdr>
    </w:div>
    <w:div w:id="1054432090">
      <w:bodyDiv w:val="1"/>
      <w:marLeft w:val="0"/>
      <w:marRight w:val="0"/>
      <w:marTop w:val="0"/>
      <w:marBottom w:val="0"/>
      <w:divBdr>
        <w:top w:val="none" w:sz="0" w:space="0" w:color="auto"/>
        <w:left w:val="none" w:sz="0" w:space="0" w:color="auto"/>
        <w:bottom w:val="none" w:sz="0" w:space="0" w:color="auto"/>
        <w:right w:val="none" w:sz="0" w:space="0" w:color="auto"/>
      </w:divBdr>
      <w:divsChild>
        <w:div w:id="172115080">
          <w:marLeft w:val="0"/>
          <w:marRight w:val="0"/>
          <w:marTop w:val="0"/>
          <w:marBottom w:val="0"/>
          <w:divBdr>
            <w:top w:val="none" w:sz="0" w:space="0" w:color="auto"/>
            <w:left w:val="none" w:sz="0" w:space="0" w:color="auto"/>
            <w:bottom w:val="none" w:sz="0" w:space="0" w:color="auto"/>
            <w:right w:val="none" w:sz="0" w:space="0" w:color="auto"/>
          </w:divBdr>
        </w:div>
      </w:divsChild>
    </w:div>
    <w:div w:id="1067147455">
      <w:bodyDiv w:val="1"/>
      <w:marLeft w:val="0"/>
      <w:marRight w:val="0"/>
      <w:marTop w:val="0"/>
      <w:marBottom w:val="0"/>
      <w:divBdr>
        <w:top w:val="none" w:sz="0" w:space="0" w:color="auto"/>
        <w:left w:val="none" w:sz="0" w:space="0" w:color="auto"/>
        <w:bottom w:val="none" w:sz="0" w:space="0" w:color="auto"/>
        <w:right w:val="none" w:sz="0" w:space="0" w:color="auto"/>
      </w:divBdr>
    </w:div>
    <w:div w:id="1121724509">
      <w:bodyDiv w:val="1"/>
      <w:marLeft w:val="0"/>
      <w:marRight w:val="0"/>
      <w:marTop w:val="0"/>
      <w:marBottom w:val="0"/>
      <w:divBdr>
        <w:top w:val="none" w:sz="0" w:space="0" w:color="auto"/>
        <w:left w:val="none" w:sz="0" w:space="0" w:color="auto"/>
        <w:bottom w:val="none" w:sz="0" w:space="0" w:color="auto"/>
        <w:right w:val="none" w:sz="0" w:space="0" w:color="auto"/>
      </w:divBdr>
    </w:div>
    <w:div w:id="1192844631">
      <w:bodyDiv w:val="1"/>
      <w:marLeft w:val="0"/>
      <w:marRight w:val="0"/>
      <w:marTop w:val="0"/>
      <w:marBottom w:val="0"/>
      <w:divBdr>
        <w:top w:val="none" w:sz="0" w:space="0" w:color="auto"/>
        <w:left w:val="none" w:sz="0" w:space="0" w:color="auto"/>
        <w:bottom w:val="none" w:sz="0" w:space="0" w:color="auto"/>
        <w:right w:val="none" w:sz="0" w:space="0" w:color="auto"/>
      </w:divBdr>
    </w:div>
    <w:div w:id="1218665712">
      <w:bodyDiv w:val="1"/>
      <w:marLeft w:val="0"/>
      <w:marRight w:val="0"/>
      <w:marTop w:val="0"/>
      <w:marBottom w:val="0"/>
      <w:divBdr>
        <w:top w:val="none" w:sz="0" w:space="0" w:color="auto"/>
        <w:left w:val="none" w:sz="0" w:space="0" w:color="auto"/>
        <w:bottom w:val="none" w:sz="0" w:space="0" w:color="auto"/>
        <w:right w:val="none" w:sz="0" w:space="0" w:color="auto"/>
      </w:divBdr>
    </w:div>
    <w:div w:id="1240869368">
      <w:bodyDiv w:val="1"/>
      <w:marLeft w:val="0"/>
      <w:marRight w:val="0"/>
      <w:marTop w:val="0"/>
      <w:marBottom w:val="0"/>
      <w:divBdr>
        <w:top w:val="none" w:sz="0" w:space="0" w:color="auto"/>
        <w:left w:val="none" w:sz="0" w:space="0" w:color="auto"/>
        <w:bottom w:val="none" w:sz="0" w:space="0" w:color="auto"/>
        <w:right w:val="none" w:sz="0" w:space="0" w:color="auto"/>
      </w:divBdr>
    </w:div>
    <w:div w:id="1299729120">
      <w:bodyDiv w:val="1"/>
      <w:marLeft w:val="0"/>
      <w:marRight w:val="0"/>
      <w:marTop w:val="0"/>
      <w:marBottom w:val="0"/>
      <w:divBdr>
        <w:top w:val="none" w:sz="0" w:space="0" w:color="auto"/>
        <w:left w:val="none" w:sz="0" w:space="0" w:color="auto"/>
        <w:bottom w:val="none" w:sz="0" w:space="0" w:color="auto"/>
        <w:right w:val="none" w:sz="0" w:space="0" w:color="auto"/>
      </w:divBdr>
    </w:div>
    <w:div w:id="1315910583">
      <w:bodyDiv w:val="1"/>
      <w:marLeft w:val="0"/>
      <w:marRight w:val="0"/>
      <w:marTop w:val="0"/>
      <w:marBottom w:val="0"/>
      <w:divBdr>
        <w:top w:val="none" w:sz="0" w:space="0" w:color="auto"/>
        <w:left w:val="none" w:sz="0" w:space="0" w:color="auto"/>
        <w:bottom w:val="none" w:sz="0" w:space="0" w:color="auto"/>
        <w:right w:val="none" w:sz="0" w:space="0" w:color="auto"/>
      </w:divBdr>
    </w:div>
    <w:div w:id="1445542831">
      <w:bodyDiv w:val="1"/>
      <w:marLeft w:val="0"/>
      <w:marRight w:val="0"/>
      <w:marTop w:val="0"/>
      <w:marBottom w:val="0"/>
      <w:divBdr>
        <w:top w:val="none" w:sz="0" w:space="0" w:color="auto"/>
        <w:left w:val="none" w:sz="0" w:space="0" w:color="auto"/>
        <w:bottom w:val="none" w:sz="0" w:space="0" w:color="auto"/>
        <w:right w:val="none" w:sz="0" w:space="0" w:color="auto"/>
      </w:divBdr>
      <w:divsChild>
        <w:div w:id="43220392">
          <w:marLeft w:val="0"/>
          <w:marRight w:val="0"/>
          <w:marTop w:val="0"/>
          <w:marBottom w:val="0"/>
          <w:divBdr>
            <w:top w:val="none" w:sz="0" w:space="0" w:color="auto"/>
            <w:left w:val="none" w:sz="0" w:space="0" w:color="auto"/>
            <w:bottom w:val="none" w:sz="0" w:space="0" w:color="auto"/>
            <w:right w:val="none" w:sz="0" w:space="0" w:color="auto"/>
          </w:divBdr>
        </w:div>
      </w:divsChild>
    </w:div>
    <w:div w:id="1604146299">
      <w:bodyDiv w:val="1"/>
      <w:marLeft w:val="0"/>
      <w:marRight w:val="0"/>
      <w:marTop w:val="0"/>
      <w:marBottom w:val="0"/>
      <w:divBdr>
        <w:top w:val="none" w:sz="0" w:space="0" w:color="auto"/>
        <w:left w:val="none" w:sz="0" w:space="0" w:color="auto"/>
        <w:bottom w:val="none" w:sz="0" w:space="0" w:color="auto"/>
        <w:right w:val="none" w:sz="0" w:space="0" w:color="auto"/>
      </w:divBdr>
      <w:divsChild>
        <w:div w:id="69622059">
          <w:marLeft w:val="0"/>
          <w:marRight w:val="0"/>
          <w:marTop w:val="0"/>
          <w:marBottom w:val="0"/>
          <w:divBdr>
            <w:top w:val="none" w:sz="0" w:space="0" w:color="auto"/>
            <w:left w:val="none" w:sz="0" w:space="0" w:color="auto"/>
            <w:bottom w:val="none" w:sz="0" w:space="0" w:color="auto"/>
            <w:right w:val="none" w:sz="0" w:space="0" w:color="auto"/>
          </w:divBdr>
        </w:div>
      </w:divsChild>
    </w:div>
    <w:div w:id="1627348467">
      <w:bodyDiv w:val="1"/>
      <w:marLeft w:val="0"/>
      <w:marRight w:val="0"/>
      <w:marTop w:val="0"/>
      <w:marBottom w:val="0"/>
      <w:divBdr>
        <w:top w:val="none" w:sz="0" w:space="0" w:color="auto"/>
        <w:left w:val="none" w:sz="0" w:space="0" w:color="auto"/>
        <w:bottom w:val="none" w:sz="0" w:space="0" w:color="auto"/>
        <w:right w:val="none" w:sz="0" w:space="0" w:color="auto"/>
      </w:divBdr>
      <w:divsChild>
        <w:div w:id="1511798473">
          <w:marLeft w:val="0"/>
          <w:marRight w:val="0"/>
          <w:marTop w:val="0"/>
          <w:marBottom w:val="0"/>
          <w:divBdr>
            <w:top w:val="none" w:sz="0" w:space="0" w:color="auto"/>
            <w:left w:val="none" w:sz="0" w:space="0" w:color="auto"/>
            <w:bottom w:val="none" w:sz="0" w:space="0" w:color="auto"/>
            <w:right w:val="none" w:sz="0" w:space="0" w:color="auto"/>
          </w:divBdr>
        </w:div>
      </w:divsChild>
    </w:div>
    <w:div w:id="1627660280">
      <w:bodyDiv w:val="1"/>
      <w:marLeft w:val="0"/>
      <w:marRight w:val="0"/>
      <w:marTop w:val="0"/>
      <w:marBottom w:val="0"/>
      <w:divBdr>
        <w:top w:val="none" w:sz="0" w:space="0" w:color="auto"/>
        <w:left w:val="none" w:sz="0" w:space="0" w:color="auto"/>
        <w:bottom w:val="none" w:sz="0" w:space="0" w:color="auto"/>
        <w:right w:val="none" w:sz="0" w:space="0" w:color="auto"/>
      </w:divBdr>
    </w:div>
    <w:div w:id="1691444912">
      <w:bodyDiv w:val="1"/>
      <w:marLeft w:val="0"/>
      <w:marRight w:val="0"/>
      <w:marTop w:val="0"/>
      <w:marBottom w:val="0"/>
      <w:divBdr>
        <w:top w:val="none" w:sz="0" w:space="0" w:color="auto"/>
        <w:left w:val="none" w:sz="0" w:space="0" w:color="auto"/>
        <w:bottom w:val="none" w:sz="0" w:space="0" w:color="auto"/>
        <w:right w:val="none" w:sz="0" w:space="0" w:color="auto"/>
      </w:divBdr>
    </w:div>
    <w:div w:id="1839153619">
      <w:bodyDiv w:val="1"/>
      <w:marLeft w:val="0"/>
      <w:marRight w:val="0"/>
      <w:marTop w:val="0"/>
      <w:marBottom w:val="0"/>
      <w:divBdr>
        <w:top w:val="none" w:sz="0" w:space="0" w:color="auto"/>
        <w:left w:val="none" w:sz="0" w:space="0" w:color="auto"/>
        <w:bottom w:val="none" w:sz="0" w:space="0" w:color="auto"/>
        <w:right w:val="none" w:sz="0" w:space="0" w:color="auto"/>
      </w:divBdr>
    </w:div>
    <w:div w:id="1844011497">
      <w:bodyDiv w:val="1"/>
      <w:marLeft w:val="0"/>
      <w:marRight w:val="0"/>
      <w:marTop w:val="0"/>
      <w:marBottom w:val="0"/>
      <w:divBdr>
        <w:top w:val="none" w:sz="0" w:space="0" w:color="auto"/>
        <w:left w:val="none" w:sz="0" w:space="0" w:color="auto"/>
        <w:bottom w:val="none" w:sz="0" w:space="0" w:color="auto"/>
        <w:right w:val="none" w:sz="0" w:space="0" w:color="auto"/>
      </w:divBdr>
      <w:divsChild>
        <w:div w:id="1331907105">
          <w:marLeft w:val="0"/>
          <w:marRight w:val="0"/>
          <w:marTop w:val="0"/>
          <w:marBottom w:val="0"/>
          <w:divBdr>
            <w:top w:val="none" w:sz="0" w:space="0" w:color="auto"/>
            <w:left w:val="none" w:sz="0" w:space="0" w:color="auto"/>
            <w:bottom w:val="none" w:sz="0" w:space="0" w:color="auto"/>
            <w:right w:val="none" w:sz="0" w:space="0" w:color="auto"/>
          </w:divBdr>
        </w:div>
      </w:divsChild>
    </w:div>
    <w:div w:id="1867253281">
      <w:bodyDiv w:val="1"/>
      <w:marLeft w:val="0"/>
      <w:marRight w:val="0"/>
      <w:marTop w:val="0"/>
      <w:marBottom w:val="0"/>
      <w:divBdr>
        <w:top w:val="none" w:sz="0" w:space="0" w:color="auto"/>
        <w:left w:val="none" w:sz="0" w:space="0" w:color="auto"/>
        <w:bottom w:val="none" w:sz="0" w:space="0" w:color="auto"/>
        <w:right w:val="none" w:sz="0" w:space="0" w:color="auto"/>
      </w:divBdr>
    </w:div>
    <w:div w:id="1971472506">
      <w:bodyDiv w:val="1"/>
      <w:marLeft w:val="0"/>
      <w:marRight w:val="0"/>
      <w:marTop w:val="0"/>
      <w:marBottom w:val="0"/>
      <w:divBdr>
        <w:top w:val="none" w:sz="0" w:space="0" w:color="auto"/>
        <w:left w:val="none" w:sz="0" w:space="0" w:color="auto"/>
        <w:bottom w:val="none" w:sz="0" w:space="0" w:color="auto"/>
        <w:right w:val="none" w:sz="0" w:space="0" w:color="auto"/>
      </w:divBdr>
    </w:div>
    <w:div w:id="209585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17457</Words>
  <Characters>97464</Characters>
  <Application>Microsoft Office Word</Application>
  <DocSecurity>0</DocSecurity>
  <Lines>812</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2019-06-26T20:05:00Z</dcterms:created>
  <dcterms:modified xsi:type="dcterms:W3CDTF">2019-06-27T16:06:00Z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